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7E1B66" w14:textId="77777777" w:rsidR="0063002E" w:rsidRDefault="0063002E"/>
    <w:p w14:paraId="05EDF93E" w14:textId="77777777" w:rsidR="0063002E" w:rsidRDefault="0063002E"/>
    <w:p w14:paraId="157F6331" w14:textId="77777777" w:rsidR="0063002E" w:rsidRDefault="0063002E"/>
    <w:p w14:paraId="530D13F5" w14:textId="77777777" w:rsidR="0063002E" w:rsidRPr="00AD35BE" w:rsidRDefault="0063002E" w:rsidP="0063002E">
      <w:pPr>
        <w:rPr>
          <w:rFonts w:ascii="Arial" w:hAnsi="Arial"/>
          <w:b/>
          <w:bCs/>
          <w:u w:val="single"/>
          <w:rtl/>
        </w:rPr>
      </w:pPr>
      <w:r w:rsidRPr="00AD35BE">
        <w:rPr>
          <w:rFonts w:ascii="Arial" w:hAnsi="Arial"/>
          <w:b/>
          <w:bCs/>
          <w:noProof/>
          <w:u w:val="single"/>
          <w:rtl/>
        </w:rPr>
        <w:object w:dxaOrig="1440" w:dyaOrig="1440" w14:anchorId="41F045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57.5pt;margin-top:-73.75pt;width:314.3pt;height:221.8pt;z-index:251657728" wrapcoords="-26 0 -26 21564 21600 21564 21600 0 -26 0">
            <v:imagedata r:id="rId5" o:title=""/>
            <w10:wrap type="tight"/>
          </v:shape>
          <o:OLEObject Type="Embed" ProgID="AcroExch.Document.7" ShapeID="_x0000_s1026" DrawAspect="Content" ObjectID="_1746171312" r:id="rId6"/>
        </w:object>
      </w:r>
    </w:p>
    <w:p w14:paraId="37C390F2" w14:textId="77777777" w:rsidR="0063002E" w:rsidRPr="00AD35BE" w:rsidRDefault="0063002E" w:rsidP="0063002E">
      <w:pPr>
        <w:rPr>
          <w:rFonts w:ascii="Arial" w:hAnsi="Arial"/>
          <w:b/>
          <w:bCs/>
          <w:u w:val="single"/>
          <w:rtl/>
        </w:rPr>
      </w:pPr>
    </w:p>
    <w:p w14:paraId="649C5FD1" w14:textId="77777777" w:rsidR="0063002E" w:rsidRPr="00AD35BE" w:rsidRDefault="0063002E" w:rsidP="0063002E">
      <w:pPr>
        <w:rPr>
          <w:rFonts w:ascii="Arial" w:hAnsi="Arial"/>
          <w:b/>
          <w:bCs/>
          <w:u w:val="single"/>
          <w:rtl/>
        </w:rPr>
      </w:pPr>
    </w:p>
    <w:p w14:paraId="5E14AED7" w14:textId="77777777" w:rsidR="0063002E" w:rsidRPr="00AD35BE" w:rsidRDefault="0063002E" w:rsidP="0063002E">
      <w:pPr>
        <w:rPr>
          <w:rFonts w:ascii="Arial" w:hAnsi="Arial"/>
          <w:b/>
          <w:bCs/>
          <w:u w:val="single"/>
          <w:rtl/>
        </w:rPr>
      </w:pPr>
    </w:p>
    <w:p w14:paraId="5A8446BF" w14:textId="77777777" w:rsidR="0063002E" w:rsidRPr="00AD35BE" w:rsidRDefault="0063002E" w:rsidP="0063002E">
      <w:pPr>
        <w:rPr>
          <w:rFonts w:ascii="Arial" w:hAnsi="Arial"/>
          <w:b/>
          <w:bCs/>
          <w:u w:val="single"/>
          <w:rtl/>
        </w:rPr>
      </w:pPr>
    </w:p>
    <w:p w14:paraId="1F9AE2A8" w14:textId="77777777" w:rsidR="0063002E" w:rsidRPr="00AD35BE" w:rsidRDefault="0063002E" w:rsidP="0063002E">
      <w:pPr>
        <w:rPr>
          <w:rFonts w:ascii="Arial" w:hAnsi="Arial"/>
          <w:b/>
          <w:bCs/>
          <w:u w:val="single"/>
          <w:rtl/>
        </w:rPr>
      </w:pPr>
    </w:p>
    <w:p w14:paraId="13F615A2" w14:textId="77777777" w:rsidR="0063002E" w:rsidRPr="00AD35BE" w:rsidRDefault="0063002E" w:rsidP="0063002E">
      <w:pPr>
        <w:rPr>
          <w:rFonts w:ascii="Arial" w:hAnsi="Arial"/>
          <w:b/>
          <w:bCs/>
          <w:u w:val="single"/>
          <w:rtl/>
        </w:rPr>
      </w:pPr>
    </w:p>
    <w:p w14:paraId="62A8B015" w14:textId="77777777" w:rsidR="0063002E" w:rsidRDefault="0063002E" w:rsidP="0063002E">
      <w:pPr>
        <w:rPr>
          <w:rFonts w:ascii="Arial" w:hAnsi="Arial" w:hint="cs"/>
          <w:b/>
          <w:bCs/>
          <w:u w:val="single"/>
          <w:rtl/>
        </w:rPr>
      </w:pPr>
    </w:p>
    <w:p w14:paraId="7C77F35C" w14:textId="77777777" w:rsidR="0063002E" w:rsidRDefault="0063002E" w:rsidP="0063002E">
      <w:pPr>
        <w:rPr>
          <w:rFonts w:ascii="Arial" w:hAnsi="Arial" w:hint="cs"/>
          <w:b/>
          <w:bCs/>
          <w:u w:val="single"/>
          <w:rtl/>
        </w:rPr>
      </w:pPr>
    </w:p>
    <w:p w14:paraId="20C0198B" w14:textId="77777777" w:rsidR="0063002E" w:rsidRDefault="0063002E" w:rsidP="0063002E">
      <w:pPr>
        <w:rPr>
          <w:rFonts w:ascii="Arial" w:hAnsi="Arial" w:hint="cs"/>
          <w:b/>
          <w:bCs/>
          <w:u w:val="single"/>
          <w:rtl/>
        </w:rPr>
      </w:pPr>
    </w:p>
    <w:p w14:paraId="04A0AC90" w14:textId="77777777" w:rsidR="0063002E" w:rsidRDefault="0063002E" w:rsidP="0063002E">
      <w:pPr>
        <w:rPr>
          <w:rFonts w:ascii="Arial" w:hAnsi="Arial" w:hint="cs"/>
          <w:b/>
          <w:bCs/>
          <w:u w:val="single"/>
          <w:rtl/>
        </w:rPr>
      </w:pPr>
    </w:p>
    <w:p w14:paraId="2308B33B" w14:textId="77777777" w:rsidR="0063002E" w:rsidRDefault="0063002E" w:rsidP="0063002E">
      <w:pPr>
        <w:rPr>
          <w:rFonts w:hint="cs"/>
          <w:rtl/>
        </w:rPr>
      </w:pPr>
    </w:p>
    <w:p w14:paraId="1FD0AAA3" w14:textId="77777777" w:rsidR="0063002E" w:rsidRDefault="0063002E" w:rsidP="0063002E">
      <w:pPr>
        <w:rPr>
          <w:rFonts w:hint="cs"/>
          <w:rtl/>
        </w:rPr>
      </w:pPr>
      <w:r>
        <w:rPr>
          <w:rFonts w:hint="cs"/>
          <w:rtl/>
        </w:rPr>
        <w:t xml:space="preserve">                                                                                                                14.10.2012</w:t>
      </w:r>
    </w:p>
    <w:p w14:paraId="232EFEA4" w14:textId="77777777" w:rsidR="0063002E" w:rsidRDefault="0063002E" w:rsidP="0063002E">
      <w:pPr>
        <w:rPr>
          <w:rFonts w:hint="cs"/>
          <w:rtl/>
        </w:rPr>
      </w:pPr>
    </w:p>
    <w:p w14:paraId="5CEBA1BC" w14:textId="77777777" w:rsidR="0063002E" w:rsidRPr="0096324C" w:rsidRDefault="0063002E" w:rsidP="00F548A9">
      <w:pPr>
        <w:rPr>
          <w:rFonts w:hint="cs"/>
          <w:b/>
          <w:bCs/>
          <w:sz w:val="32"/>
          <w:szCs w:val="32"/>
          <w:u w:val="single"/>
          <w:rtl/>
        </w:rPr>
      </w:pPr>
      <w:r w:rsidRPr="00F548A9">
        <w:rPr>
          <w:rFonts w:hint="cs"/>
          <w:b/>
          <w:bCs/>
          <w:sz w:val="28"/>
          <w:szCs w:val="28"/>
          <w:rtl/>
        </w:rPr>
        <w:t xml:space="preserve">        </w:t>
      </w:r>
      <w:r w:rsidR="00F548A9" w:rsidRPr="0096324C">
        <w:rPr>
          <w:rFonts w:hint="cs"/>
          <w:b/>
          <w:bCs/>
          <w:sz w:val="32"/>
          <w:szCs w:val="32"/>
          <w:u w:val="single"/>
          <w:rtl/>
        </w:rPr>
        <w:t>הזמנה ל</w:t>
      </w:r>
      <w:r w:rsidRPr="0096324C">
        <w:rPr>
          <w:rFonts w:hint="cs"/>
          <w:b/>
          <w:bCs/>
          <w:sz w:val="32"/>
          <w:szCs w:val="32"/>
          <w:u w:val="single"/>
          <w:rtl/>
        </w:rPr>
        <w:t>מפגש הסבר לחברים  בנושא זיקה לנכסים</w:t>
      </w:r>
    </w:p>
    <w:p w14:paraId="56A88010" w14:textId="77777777" w:rsidR="0063002E" w:rsidRPr="00F548A9" w:rsidRDefault="0063002E" w:rsidP="0063002E">
      <w:pPr>
        <w:rPr>
          <w:rFonts w:hint="cs"/>
          <w:b/>
          <w:bCs/>
          <w:sz w:val="28"/>
          <w:szCs w:val="28"/>
          <w:rtl/>
        </w:rPr>
      </w:pPr>
    </w:p>
    <w:p w14:paraId="1945CCB1" w14:textId="77777777" w:rsidR="0063002E" w:rsidRPr="00F548A9" w:rsidRDefault="0063002E" w:rsidP="0063002E">
      <w:pPr>
        <w:spacing w:line="360" w:lineRule="auto"/>
        <w:ind w:left="-180"/>
        <w:rPr>
          <w:rFonts w:hint="cs"/>
          <w:b/>
          <w:bCs/>
          <w:sz w:val="28"/>
          <w:szCs w:val="28"/>
          <w:rtl/>
        </w:rPr>
      </w:pPr>
      <w:r w:rsidRPr="00F548A9">
        <w:rPr>
          <w:rFonts w:hint="cs"/>
          <w:b/>
          <w:bCs/>
          <w:sz w:val="28"/>
          <w:szCs w:val="28"/>
          <w:rtl/>
        </w:rPr>
        <w:t>ביום רביעי ה -  17.10.2012 נתכנס במועדון בשעה 20:30 למפגש ציבורי לכל החברים להסבר בסיסי על הזיקה לנכסים שישמש כרקע לדיון הציבורי . המפגש יתחיל בהסבר של עו"ד מיכל ינאי  ולאחריו יועלו הדילמות שעלו בדיוני הצוות.</w:t>
      </w:r>
    </w:p>
    <w:p w14:paraId="25CA64D7" w14:textId="77777777" w:rsidR="0063002E" w:rsidRPr="00C879B8" w:rsidRDefault="0063002E" w:rsidP="0063002E">
      <w:pPr>
        <w:spacing w:line="360" w:lineRule="auto"/>
        <w:ind w:left="-694"/>
        <w:rPr>
          <w:b/>
          <w:bCs/>
          <w:color w:val="0000FF"/>
          <w:sz w:val="28"/>
          <w:szCs w:val="28"/>
          <w:u w:val="single"/>
          <w:rtl/>
        </w:rPr>
      </w:pPr>
      <w:r>
        <w:rPr>
          <w:b/>
          <w:bCs/>
          <w:sz w:val="28"/>
          <w:szCs w:val="28"/>
          <w:rtl/>
        </w:rPr>
        <w:t xml:space="preserve">       </w:t>
      </w:r>
      <w:r w:rsidRPr="00C879B8">
        <w:rPr>
          <w:b/>
          <w:bCs/>
          <w:color w:val="0000FF"/>
          <w:sz w:val="28"/>
          <w:szCs w:val="28"/>
          <w:u w:val="single"/>
          <w:rtl/>
        </w:rPr>
        <w:t>מצורף מתווה ההתנהלות לקבלת החלטות לזיקה בנכסים:</w:t>
      </w:r>
    </w:p>
    <w:p w14:paraId="608B4AF8" w14:textId="77777777" w:rsidR="0063002E" w:rsidRDefault="0063002E" w:rsidP="0063002E"/>
    <w:tbl>
      <w:tblPr>
        <w:bidiVisual/>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3973"/>
        <w:gridCol w:w="1807"/>
        <w:gridCol w:w="2696"/>
      </w:tblGrid>
      <w:tr w:rsidR="0063002E" w:rsidRPr="00B37B3F" w14:paraId="09F4F7BB" w14:textId="77777777" w:rsidTr="00D32A26">
        <w:tc>
          <w:tcPr>
            <w:tcW w:w="704" w:type="dxa"/>
            <w:shd w:val="clear" w:color="auto" w:fill="FABF8F"/>
          </w:tcPr>
          <w:p w14:paraId="5AC7F524" w14:textId="77777777" w:rsidR="0063002E" w:rsidRPr="00B37B3F" w:rsidRDefault="0063002E" w:rsidP="00D32A26">
            <w:pPr>
              <w:jc w:val="center"/>
              <w:rPr>
                <w:rFonts w:ascii="Arial" w:hAnsi="Arial"/>
                <w:b/>
                <w:bCs/>
                <w:rtl/>
              </w:rPr>
            </w:pPr>
            <w:r w:rsidRPr="00B37B3F">
              <w:rPr>
                <w:rFonts w:ascii="Arial" w:hAnsi="Arial"/>
                <w:b/>
                <w:bCs/>
                <w:rtl/>
              </w:rPr>
              <w:t>שלב</w:t>
            </w:r>
          </w:p>
        </w:tc>
        <w:tc>
          <w:tcPr>
            <w:tcW w:w="3973" w:type="dxa"/>
            <w:shd w:val="clear" w:color="auto" w:fill="FABF8F"/>
          </w:tcPr>
          <w:p w14:paraId="4414593E" w14:textId="77777777" w:rsidR="0063002E" w:rsidRPr="00B37B3F" w:rsidRDefault="0063002E" w:rsidP="00D32A26">
            <w:pPr>
              <w:jc w:val="center"/>
              <w:rPr>
                <w:rFonts w:ascii="Arial" w:hAnsi="Arial"/>
                <w:b/>
                <w:bCs/>
                <w:rtl/>
              </w:rPr>
            </w:pPr>
            <w:r w:rsidRPr="00B37B3F">
              <w:rPr>
                <w:rFonts w:ascii="Arial" w:hAnsi="Arial"/>
                <w:b/>
                <w:bCs/>
                <w:rtl/>
              </w:rPr>
              <w:t>פעילות</w:t>
            </w:r>
          </w:p>
        </w:tc>
        <w:tc>
          <w:tcPr>
            <w:tcW w:w="1807" w:type="dxa"/>
            <w:shd w:val="clear" w:color="auto" w:fill="FABF8F"/>
          </w:tcPr>
          <w:p w14:paraId="5BB08054" w14:textId="77777777" w:rsidR="0063002E" w:rsidRPr="00B37B3F" w:rsidRDefault="0063002E" w:rsidP="00D32A26">
            <w:pPr>
              <w:jc w:val="center"/>
              <w:rPr>
                <w:rFonts w:ascii="Arial" w:hAnsi="Arial"/>
                <w:b/>
                <w:bCs/>
                <w:rtl/>
              </w:rPr>
            </w:pPr>
            <w:r>
              <w:rPr>
                <w:rFonts w:ascii="Arial" w:hAnsi="Arial"/>
                <w:b/>
                <w:bCs/>
                <w:rtl/>
              </w:rPr>
              <w:t>מועד</w:t>
            </w:r>
          </w:p>
        </w:tc>
        <w:tc>
          <w:tcPr>
            <w:tcW w:w="2696" w:type="dxa"/>
            <w:shd w:val="clear" w:color="auto" w:fill="FABF8F"/>
          </w:tcPr>
          <w:p w14:paraId="1D380A6F" w14:textId="77777777" w:rsidR="0063002E" w:rsidRPr="00B37B3F" w:rsidRDefault="0063002E" w:rsidP="00D32A26">
            <w:pPr>
              <w:jc w:val="center"/>
              <w:rPr>
                <w:rFonts w:ascii="Arial" w:hAnsi="Arial"/>
                <w:b/>
                <w:bCs/>
                <w:rtl/>
              </w:rPr>
            </w:pPr>
            <w:r>
              <w:rPr>
                <w:rFonts w:ascii="Arial" w:hAnsi="Arial"/>
                <w:b/>
                <w:bCs/>
                <w:rtl/>
              </w:rPr>
              <w:t>הערות</w:t>
            </w:r>
          </w:p>
        </w:tc>
      </w:tr>
      <w:tr w:rsidR="0063002E" w:rsidRPr="00B37B3F" w14:paraId="49B885EC" w14:textId="77777777" w:rsidTr="00D32A26">
        <w:tc>
          <w:tcPr>
            <w:tcW w:w="704" w:type="dxa"/>
          </w:tcPr>
          <w:p w14:paraId="15D06547" w14:textId="77777777" w:rsidR="0063002E" w:rsidRPr="00B37B3F" w:rsidRDefault="0063002E" w:rsidP="00D32A26">
            <w:pPr>
              <w:rPr>
                <w:rFonts w:ascii="Arial" w:hAnsi="Arial"/>
                <w:rtl/>
              </w:rPr>
            </w:pPr>
            <w:r w:rsidRPr="00B37B3F">
              <w:rPr>
                <w:rFonts w:ascii="Arial" w:hAnsi="Arial"/>
                <w:rtl/>
              </w:rPr>
              <w:t>1</w:t>
            </w:r>
          </w:p>
        </w:tc>
        <w:tc>
          <w:tcPr>
            <w:tcW w:w="3973" w:type="dxa"/>
          </w:tcPr>
          <w:p w14:paraId="76CA0BF0" w14:textId="77777777" w:rsidR="0063002E" w:rsidRDefault="0063002E" w:rsidP="00D32A26">
            <w:pPr>
              <w:rPr>
                <w:rFonts w:ascii="Arial" w:hAnsi="Arial"/>
              </w:rPr>
            </w:pPr>
            <w:r>
              <w:rPr>
                <w:rFonts w:ascii="Arial" w:hAnsi="Arial"/>
                <w:rtl/>
              </w:rPr>
              <w:t>מפגש ציבורי ראשון:</w:t>
            </w:r>
          </w:p>
          <w:p w14:paraId="4038EA67" w14:textId="77777777" w:rsidR="0063002E" w:rsidRDefault="0063002E" w:rsidP="0063002E">
            <w:pPr>
              <w:numPr>
                <w:ilvl w:val="0"/>
                <w:numId w:val="1"/>
              </w:numPr>
              <w:spacing w:line="360" w:lineRule="auto"/>
              <w:ind w:left="322" w:hanging="322"/>
              <w:rPr>
                <w:rFonts w:ascii="Arial" w:hAnsi="Arial"/>
              </w:rPr>
            </w:pPr>
            <w:r w:rsidRPr="00B37B3F">
              <w:rPr>
                <w:rFonts w:ascii="Arial" w:hAnsi="Arial"/>
                <w:rtl/>
              </w:rPr>
              <w:t xml:space="preserve">הסבר </w:t>
            </w:r>
            <w:r>
              <w:rPr>
                <w:rFonts w:ascii="Arial" w:hAnsi="Arial"/>
                <w:rtl/>
              </w:rPr>
              <w:t>בסיסי של החומר כרקע לדיון – עו"ד מיכל ינאי.</w:t>
            </w:r>
          </w:p>
          <w:p w14:paraId="628540C4" w14:textId="77777777" w:rsidR="0063002E" w:rsidRPr="00B37B3F" w:rsidRDefault="0063002E" w:rsidP="0063002E">
            <w:pPr>
              <w:numPr>
                <w:ilvl w:val="0"/>
                <w:numId w:val="1"/>
              </w:numPr>
              <w:spacing w:line="360" w:lineRule="auto"/>
              <w:ind w:left="322" w:hanging="322"/>
              <w:rPr>
                <w:rFonts w:ascii="Arial" w:hAnsi="Arial"/>
                <w:rtl/>
              </w:rPr>
            </w:pPr>
            <w:r>
              <w:rPr>
                <w:rFonts w:ascii="Arial" w:hAnsi="Arial"/>
                <w:rtl/>
              </w:rPr>
              <w:t>העלאה של הדילמות החברתיות, הערכיות, הרגשיות והכלכליות – חברי הצוות.</w:t>
            </w:r>
          </w:p>
        </w:tc>
        <w:tc>
          <w:tcPr>
            <w:tcW w:w="1807" w:type="dxa"/>
          </w:tcPr>
          <w:p w14:paraId="2D1286C1" w14:textId="77777777" w:rsidR="0063002E" w:rsidRDefault="0063002E" w:rsidP="00D32A26">
            <w:pPr>
              <w:rPr>
                <w:rFonts w:ascii="Arial" w:hAnsi="Arial"/>
                <w:rtl/>
              </w:rPr>
            </w:pPr>
            <w:r>
              <w:rPr>
                <w:rFonts w:ascii="Arial" w:hAnsi="Arial"/>
                <w:rtl/>
              </w:rPr>
              <w:t>רביעי 17.10.12</w:t>
            </w:r>
          </w:p>
          <w:p w14:paraId="3AC87500" w14:textId="77777777" w:rsidR="0063002E" w:rsidRPr="00B37B3F" w:rsidRDefault="0063002E" w:rsidP="00D32A26">
            <w:pPr>
              <w:rPr>
                <w:rFonts w:ascii="Arial" w:hAnsi="Arial"/>
                <w:rtl/>
              </w:rPr>
            </w:pPr>
            <w:r>
              <w:rPr>
                <w:rFonts w:ascii="Arial" w:hAnsi="Arial"/>
                <w:rtl/>
              </w:rPr>
              <w:t>בשעה 20:30</w:t>
            </w:r>
          </w:p>
        </w:tc>
        <w:tc>
          <w:tcPr>
            <w:tcW w:w="2696" w:type="dxa"/>
          </w:tcPr>
          <w:p w14:paraId="373D6781" w14:textId="77777777" w:rsidR="0063002E" w:rsidRPr="00B37B3F" w:rsidRDefault="0063002E" w:rsidP="00D32A26">
            <w:pPr>
              <w:rPr>
                <w:rFonts w:ascii="Arial" w:hAnsi="Arial"/>
                <w:rtl/>
              </w:rPr>
            </w:pPr>
          </w:p>
        </w:tc>
      </w:tr>
      <w:tr w:rsidR="0063002E" w:rsidRPr="00B37B3F" w14:paraId="38DA220C" w14:textId="77777777" w:rsidTr="00D32A26">
        <w:tc>
          <w:tcPr>
            <w:tcW w:w="704" w:type="dxa"/>
          </w:tcPr>
          <w:p w14:paraId="46F68234" w14:textId="77777777" w:rsidR="0063002E" w:rsidRPr="00B37B3F" w:rsidRDefault="0063002E" w:rsidP="00D32A26">
            <w:pPr>
              <w:rPr>
                <w:rFonts w:ascii="Arial" w:hAnsi="Arial"/>
                <w:rtl/>
              </w:rPr>
            </w:pPr>
            <w:r w:rsidRPr="00B37B3F">
              <w:rPr>
                <w:rFonts w:ascii="Arial" w:hAnsi="Arial"/>
                <w:rtl/>
              </w:rPr>
              <w:t>2</w:t>
            </w:r>
          </w:p>
        </w:tc>
        <w:tc>
          <w:tcPr>
            <w:tcW w:w="3973" w:type="dxa"/>
          </w:tcPr>
          <w:p w14:paraId="79EDEC10" w14:textId="77777777" w:rsidR="0063002E" w:rsidRPr="00B37B3F" w:rsidRDefault="0063002E" w:rsidP="00D32A26">
            <w:pPr>
              <w:rPr>
                <w:rFonts w:ascii="Arial" w:hAnsi="Arial"/>
                <w:rtl/>
              </w:rPr>
            </w:pPr>
            <w:r>
              <w:rPr>
                <w:rFonts w:ascii="Arial" w:hAnsi="Arial"/>
                <w:rtl/>
              </w:rPr>
              <w:t>מפגש ציבורי שני - דיון פתוח – מה חשוב בעיני?</w:t>
            </w:r>
          </w:p>
        </w:tc>
        <w:tc>
          <w:tcPr>
            <w:tcW w:w="1807" w:type="dxa"/>
          </w:tcPr>
          <w:p w14:paraId="37862696" w14:textId="77777777" w:rsidR="0063002E" w:rsidRDefault="0063002E" w:rsidP="00D32A26">
            <w:pPr>
              <w:rPr>
                <w:rFonts w:ascii="Arial" w:hAnsi="Arial"/>
                <w:rtl/>
              </w:rPr>
            </w:pPr>
            <w:r>
              <w:rPr>
                <w:rFonts w:ascii="Arial" w:hAnsi="Arial"/>
                <w:rtl/>
              </w:rPr>
              <w:t>רביעי 31.10.12</w:t>
            </w:r>
          </w:p>
          <w:p w14:paraId="30831D3D" w14:textId="77777777" w:rsidR="0063002E" w:rsidRPr="00B37B3F" w:rsidRDefault="0063002E" w:rsidP="00D32A26">
            <w:pPr>
              <w:rPr>
                <w:rFonts w:ascii="Arial" w:hAnsi="Arial"/>
                <w:rtl/>
              </w:rPr>
            </w:pPr>
            <w:r>
              <w:rPr>
                <w:rFonts w:ascii="Arial" w:hAnsi="Arial"/>
                <w:rtl/>
              </w:rPr>
              <w:t>בשעה 20:00</w:t>
            </w:r>
          </w:p>
        </w:tc>
        <w:tc>
          <w:tcPr>
            <w:tcW w:w="2696" w:type="dxa"/>
          </w:tcPr>
          <w:p w14:paraId="31057159" w14:textId="77777777" w:rsidR="0063002E" w:rsidRPr="00B37B3F" w:rsidRDefault="0063002E" w:rsidP="00D32A26">
            <w:pPr>
              <w:rPr>
                <w:rFonts w:ascii="Arial" w:hAnsi="Arial"/>
                <w:rtl/>
              </w:rPr>
            </w:pPr>
            <w:r>
              <w:rPr>
                <w:rFonts w:ascii="Arial" w:hAnsi="Arial"/>
                <w:rtl/>
              </w:rPr>
              <w:t>אופציה למפגש נוסף אם יהיה צורך</w:t>
            </w:r>
          </w:p>
        </w:tc>
      </w:tr>
      <w:tr w:rsidR="0063002E" w:rsidRPr="00B37B3F" w14:paraId="575B09A1" w14:textId="77777777" w:rsidTr="00D32A26">
        <w:tc>
          <w:tcPr>
            <w:tcW w:w="704" w:type="dxa"/>
          </w:tcPr>
          <w:p w14:paraId="23590179" w14:textId="77777777" w:rsidR="0063002E" w:rsidRPr="00B37B3F" w:rsidRDefault="0063002E" w:rsidP="00D32A26">
            <w:pPr>
              <w:rPr>
                <w:rFonts w:ascii="Arial" w:hAnsi="Arial"/>
                <w:rtl/>
              </w:rPr>
            </w:pPr>
            <w:r w:rsidRPr="00B37B3F">
              <w:rPr>
                <w:rFonts w:ascii="Arial" w:hAnsi="Arial"/>
                <w:rtl/>
              </w:rPr>
              <w:t>3</w:t>
            </w:r>
          </w:p>
        </w:tc>
        <w:tc>
          <w:tcPr>
            <w:tcW w:w="3973" w:type="dxa"/>
          </w:tcPr>
          <w:p w14:paraId="289A5401" w14:textId="77777777" w:rsidR="0063002E" w:rsidRPr="00B37B3F" w:rsidRDefault="0063002E" w:rsidP="00D32A26">
            <w:pPr>
              <w:rPr>
                <w:rFonts w:ascii="Arial" w:hAnsi="Arial"/>
                <w:rtl/>
              </w:rPr>
            </w:pPr>
            <w:r>
              <w:rPr>
                <w:rFonts w:ascii="Arial" w:hAnsi="Arial"/>
                <w:rtl/>
              </w:rPr>
              <w:t>ישיבה/</w:t>
            </w:r>
            <w:proofErr w:type="spellStart"/>
            <w:r>
              <w:rPr>
                <w:rFonts w:ascii="Arial" w:hAnsi="Arial"/>
                <w:rtl/>
              </w:rPr>
              <w:t>ות</w:t>
            </w:r>
            <w:proofErr w:type="spellEnd"/>
            <w:r>
              <w:rPr>
                <w:rFonts w:ascii="Arial" w:hAnsi="Arial"/>
                <w:rtl/>
              </w:rPr>
              <w:t xml:space="preserve"> צוות זיקה לנכסים לצורך הכנת חלופות עקרוניות להכרעה</w:t>
            </w:r>
          </w:p>
        </w:tc>
        <w:tc>
          <w:tcPr>
            <w:tcW w:w="1807" w:type="dxa"/>
          </w:tcPr>
          <w:p w14:paraId="4395640F" w14:textId="77777777" w:rsidR="0063002E" w:rsidRDefault="0063002E" w:rsidP="00D32A26">
            <w:pPr>
              <w:rPr>
                <w:rFonts w:ascii="Arial" w:hAnsi="Arial"/>
                <w:rtl/>
              </w:rPr>
            </w:pPr>
            <w:r>
              <w:rPr>
                <w:rFonts w:ascii="Arial" w:hAnsi="Arial"/>
                <w:rtl/>
              </w:rPr>
              <w:t>רביעי 7.11.12</w:t>
            </w:r>
          </w:p>
          <w:p w14:paraId="552C680B" w14:textId="77777777" w:rsidR="0063002E" w:rsidRPr="00B37B3F" w:rsidRDefault="0063002E" w:rsidP="00D32A26">
            <w:pPr>
              <w:rPr>
                <w:rFonts w:ascii="Arial" w:hAnsi="Arial"/>
                <w:rtl/>
              </w:rPr>
            </w:pPr>
            <w:r>
              <w:rPr>
                <w:rFonts w:ascii="Arial" w:hAnsi="Arial"/>
                <w:rtl/>
              </w:rPr>
              <w:t>בשעה 17:00</w:t>
            </w:r>
          </w:p>
        </w:tc>
        <w:tc>
          <w:tcPr>
            <w:tcW w:w="2696" w:type="dxa"/>
          </w:tcPr>
          <w:p w14:paraId="23A04A9C" w14:textId="77777777" w:rsidR="0063002E" w:rsidRPr="00B37B3F" w:rsidRDefault="0063002E" w:rsidP="00D32A26">
            <w:pPr>
              <w:rPr>
                <w:rFonts w:ascii="Arial" w:hAnsi="Arial"/>
                <w:rtl/>
              </w:rPr>
            </w:pPr>
            <w:r>
              <w:rPr>
                <w:rFonts w:ascii="Arial" w:hAnsi="Arial"/>
                <w:rtl/>
              </w:rPr>
              <w:t>על בסיס התכנים שיעלו במפגש/ים הציבורי/ים</w:t>
            </w:r>
          </w:p>
        </w:tc>
      </w:tr>
      <w:tr w:rsidR="0063002E" w:rsidRPr="00B37B3F" w14:paraId="46851A1E" w14:textId="77777777" w:rsidTr="00D32A26">
        <w:tc>
          <w:tcPr>
            <w:tcW w:w="704" w:type="dxa"/>
          </w:tcPr>
          <w:p w14:paraId="5A8D3FDA" w14:textId="77777777" w:rsidR="0063002E" w:rsidRPr="00B37B3F" w:rsidRDefault="0063002E" w:rsidP="00D32A26">
            <w:pPr>
              <w:rPr>
                <w:rFonts w:ascii="Arial" w:hAnsi="Arial"/>
                <w:rtl/>
              </w:rPr>
            </w:pPr>
            <w:r w:rsidRPr="00B37B3F">
              <w:rPr>
                <w:rFonts w:ascii="Arial" w:hAnsi="Arial"/>
                <w:rtl/>
              </w:rPr>
              <w:t>4</w:t>
            </w:r>
          </w:p>
        </w:tc>
        <w:tc>
          <w:tcPr>
            <w:tcW w:w="3973" w:type="dxa"/>
          </w:tcPr>
          <w:p w14:paraId="77D76A47" w14:textId="77777777" w:rsidR="0063002E" w:rsidRPr="00B37B3F" w:rsidRDefault="0063002E" w:rsidP="00D32A26">
            <w:pPr>
              <w:rPr>
                <w:rFonts w:ascii="Arial" w:hAnsi="Arial"/>
                <w:rtl/>
              </w:rPr>
            </w:pPr>
            <w:r>
              <w:rPr>
                <w:rFonts w:ascii="Arial" w:hAnsi="Arial"/>
                <w:rtl/>
              </w:rPr>
              <w:t>הצגת החלופות באסיפה</w:t>
            </w:r>
          </w:p>
        </w:tc>
        <w:tc>
          <w:tcPr>
            <w:tcW w:w="1807" w:type="dxa"/>
          </w:tcPr>
          <w:p w14:paraId="1E152F10" w14:textId="77777777" w:rsidR="0063002E" w:rsidRDefault="0063002E" w:rsidP="00D32A26">
            <w:pPr>
              <w:rPr>
                <w:rFonts w:ascii="Arial" w:hAnsi="Arial"/>
                <w:rtl/>
              </w:rPr>
            </w:pPr>
            <w:r>
              <w:rPr>
                <w:rFonts w:ascii="Arial" w:hAnsi="Arial"/>
                <w:rtl/>
              </w:rPr>
              <w:t xml:space="preserve">חמישי 20.12.12  </w:t>
            </w:r>
          </w:p>
          <w:p w14:paraId="2DBB49A9" w14:textId="77777777" w:rsidR="0063002E" w:rsidRPr="00B37B3F" w:rsidRDefault="0063002E" w:rsidP="00D32A26">
            <w:pPr>
              <w:rPr>
                <w:rFonts w:ascii="Arial" w:hAnsi="Arial"/>
                <w:rtl/>
              </w:rPr>
            </w:pPr>
            <w:r>
              <w:rPr>
                <w:rFonts w:ascii="Arial" w:hAnsi="Arial"/>
                <w:rtl/>
              </w:rPr>
              <w:t>בשעה 20:00</w:t>
            </w:r>
          </w:p>
        </w:tc>
        <w:tc>
          <w:tcPr>
            <w:tcW w:w="2696" w:type="dxa"/>
          </w:tcPr>
          <w:p w14:paraId="0505B1DD" w14:textId="77777777" w:rsidR="0063002E" w:rsidRPr="00B37B3F" w:rsidRDefault="0063002E" w:rsidP="00D32A26">
            <w:pPr>
              <w:rPr>
                <w:rFonts w:ascii="Arial" w:hAnsi="Arial"/>
                <w:rtl/>
              </w:rPr>
            </w:pPr>
            <w:r>
              <w:rPr>
                <w:rFonts w:ascii="Arial" w:hAnsi="Arial"/>
                <w:rtl/>
              </w:rPr>
              <w:t>המועד נותן אופציה למפגש צוות או מפגש ציבורי נוסף.</w:t>
            </w:r>
          </w:p>
        </w:tc>
      </w:tr>
      <w:tr w:rsidR="0063002E" w:rsidRPr="00B37B3F" w14:paraId="3A3CD939" w14:textId="77777777" w:rsidTr="00D32A26">
        <w:tc>
          <w:tcPr>
            <w:tcW w:w="704" w:type="dxa"/>
          </w:tcPr>
          <w:p w14:paraId="7B47B887" w14:textId="77777777" w:rsidR="0063002E" w:rsidRPr="00B37B3F" w:rsidRDefault="0063002E" w:rsidP="00D32A26">
            <w:pPr>
              <w:rPr>
                <w:rFonts w:ascii="Arial" w:hAnsi="Arial"/>
                <w:rtl/>
              </w:rPr>
            </w:pPr>
            <w:r>
              <w:rPr>
                <w:rFonts w:ascii="Arial" w:hAnsi="Arial"/>
                <w:rtl/>
              </w:rPr>
              <w:t>5</w:t>
            </w:r>
          </w:p>
        </w:tc>
        <w:tc>
          <w:tcPr>
            <w:tcW w:w="3973" w:type="dxa"/>
          </w:tcPr>
          <w:p w14:paraId="097F05C3" w14:textId="77777777" w:rsidR="0063002E" w:rsidRDefault="0063002E" w:rsidP="00D32A26">
            <w:pPr>
              <w:rPr>
                <w:rFonts w:ascii="Arial" w:hAnsi="Arial"/>
                <w:rtl/>
              </w:rPr>
            </w:pPr>
            <w:r>
              <w:rPr>
                <w:rFonts w:ascii="Arial" w:hAnsi="Arial"/>
                <w:rtl/>
              </w:rPr>
              <w:t>קלפי</w:t>
            </w:r>
          </w:p>
        </w:tc>
        <w:tc>
          <w:tcPr>
            <w:tcW w:w="1807" w:type="dxa"/>
          </w:tcPr>
          <w:p w14:paraId="690CC0E9" w14:textId="77777777" w:rsidR="0063002E" w:rsidRDefault="0063002E" w:rsidP="00D32A26">
            <w:pPr>
              <w:rPr>
                <w:rFonts w:ascii="Arial" w:hAnsi="Arial"/>
                <w:rtl/>
              </w:rPr>
            </w:pPr>
            <w:r>
              <w:rPr>
                <w:rFonts w:ascii="Arial" w:hAnsi="Arial"/>
                <w:rtl/>
              </w:rPr>
              <w:t>20-21/12/2012</w:t>
            </w:r>
          </w:p>
        </w:tc>
        <w:tc>
          <w:tcPr>
            <w:tcW w:w="2696" w:type="dxa"/>
          </w:tcPr>
          <w:p w14:paraId="295197E4" w14:textId="77777777" w:rsidR="0063002E" w:rsidRDefault="0063002E" w:rsidP="00D32A26">
            <w:pPr>
              <w:rPr>
                <w:rFonts w:ascii="Arial" w:hAnsi="Arial"/>
                <w:rtl/>
              </w:rPr>
            </w:pPr>
          </w:p>
        </w:tc>
      </w:tr>
    </w:tbl>
    <w:p w14:paraId="4B663FEA" w14:textId="77777777" w:rsidR="0063002E" w:rsidRDefault="0063002E" w:rsidP="0063002E">
      <w:pPr>
        <w:rPr>
          <w:rFonts w:ascii="Arial" w:hAnsi="Arial"/>
          <w:rtl/>
        </w:rPr>
      </w:pPr>
    </w:p>
    <w:p w14:paraId="2CAED68A" w14:textId="77777777" w:rsidR="0063002E" w:rsidRDefault="0063002E" w:rsidP="0063002E">
      <w:pPr>
        <w:spacing w:line="360" w:lineRule="auto"/>
        <w:ind w:left="-180"/>
        <w:rPr>
          <w:rFonts w:hint="cs"/>
          <w:sz w:val="28"/>
          <w:szCs w:val="28"/>
          <w:rtl/>
        </w:rPr>
      </w:pPr>
      <w:r w:rsidRPr="00F548A9">
        <w:rPr>
          <w:sz w:val="28"/>
          <w:szCs w:val="28"/>
          <w:rtl/>
        </w:rPr>
        <w:t>בהמשך להכרעת הקלפי ישוב ויתכנס הצוות לבניית מודל מפורט על בסיס העקרונות שייקבעו.</w:t>
      </w:r>
    </w:p>
    <w:p w14:paraId="4A694080" w14:textId="77777777" w:rsidR="0014301B" w:rsidRPr="0014301B" w:rsidRDefault="0014301B" w:rsidP="0063002E">
      <w:pPr>
        <w:spacing w:line="360" w:lineRule="auto"/>
        <w:ind w:left="-180"/>
        <w:rPr>
          <w:rFonts w:hint="cs"/>
          <w:b/>
          <w:bCs/>
          <w:sz w:val="28"/>
          <w:szCs w:val="28"/>
          <w:u w:val="single"/>
          <w:rtl/>
        </w:rPr>
      </w:pPr>
      <w:r w:rsidRPr="0014301B">
        <w:rPr>
          <w:rFonts w:hint="cs"/>
          <w:b/>
          <w:bCs/>
          <w:sz w:val="28"/>
          <w:szCs w:val="28"/>
          <w:u w:val="single"/>
          <w:rtl/>
        </w:rPr>
        <w:t>חומר מצורף</w:t>
      </w:r>
    </w:p>
    <w:p w14:paraId="42DC5C92" w14:textId="77777777" w:rsidR="0014301B" w:rsidRDefault="0014301B" w:rsidP="0014301B">
      <w:pPr>
        <w:numPr>
          <w:ilvl w:val="0"/>
          <w:numId w:val="5"/>
        </w:numPr>
        <w:rPr>
          <w:rFonts w:hint="cs"/>
          <w:b/>
          <w:bCs/>
          <w:sz w:val="32"/>
          <w:szCs w:val="32"/>
          <w:u w:val="single"/>
          <w:rtl/>
        </w:rPr>
      </w:pPr>
      <w:r w:rsidRPr="00F548A9">
        <w:rPr>
          <w:rFonts w:hint="cs"/>
          <w:b/>
          <w:bCs/>
          <w:sz w:val="32"/>
          <w:szCs w:val="32"/>
          <w:u w:val="single"/>
          <w:rtl/>
        </w:rPr>
        <w:t xml:space="preserve">מצ"ב </w:t>
      </w:r>
      <w:r>
        <w:rPr>
          <w:rFonts w:hint="cs"/>
          <w:b/>
          <w:bCs/>
          <w:sz w:val="32"/>
          <w:szCs w:val="32"/>
          <w:u w:val="single"/>
          <w:rtl/>
        </w:rPr>
        <w:t xml:space="preserve"> טבלה המרכזת את ההבדלים בין המודלים לשיוך נכסים.</w:t>
      </w:r>
    </w:p>
    <w:p w14:paraId="1AD8205D" w14:textId="77777777" w:rsidR="0014301B" w:rsidRDefault="0014301B" w:rsidP="0014301B">
      <w:pPr>
        <w:numPr>
          <w:ilvl w:val="0"/>
          <w:numId w:val="5"/>
        </w:numPr>
        <w:rPr>
          <w:rFonts w:hint="cs"/>
          <w:b/>
          <w:bCs/>
          <w:sz w:val="32"/>
          <w:szCs w:val="32"/>
          <w:u w:val="single"/>
        </w:rPr>
      </w:pPr>
      <w:r>
        <w:rPr>
          <w:rFonts w:hint="cs"/>
          <w:b/>
          <w:bCs/>
          <w:sz w:val="32"/>
          <w:szCs w:val="32"/>
          <w:u w:val="single"/>
          <w:rtl/>
        </w:rPr>
        <w:t xml:space="preserve"> </w:t>
      </w:r>
      <w:r w:rsidRPr="00F548A9">
        <w:rPr>
          <w:rFonts w:hint="cs"/>
          <w:b/>
          <w:bCs/>
          <w:sz w:val="32"/>
          <w:szCs w:val="32"/>
          <w:u w:val="single"/>
          <w:rtl/>
        </w:rPr>
        <w:t>תקציר ההסבר של עו"ד מיכל ינאי על הזיקה לנכסים</w:t>
      </w:r>
      <w:r>
        <w:rPr>
          <w:rFonts w:hint="cs"/>
          <w:b/>
          <w:bCs/>
          <w:sz w:val="32"/>
          <w:szCs w:val="32"/>
          <w:u w:val="single"/>
          <w:rtl/>
        </w:rPr>
        <w:t>.</w:t>
      </w:r>
    </w:p>
    <w:p w14:paraId="705E42A9" w14:textId="77777777" w:rsidR="0014301B" w:rsidRDefault="0014301B" w:rsidP="0014301B">
      <w:pPr>
        <w:numPr>
          <w:ilvl w:val="0"/>
          <w:numId w:val="5"/>
        </w:numPr>
        <w:rPr>
          <w:rFonts w:hint="cs"/>
          <w:b/>
          <w:bCs/>
          <w:sz w:val="32"/>
          <w:szCs w:val="32"/>
          <w:u w:val="single"/>
          <w:rtl/>
        </w:rPr>
      </w:pPr>
      <w:r w:rsidRPr="00F548A9">
        <w:rPr>
          <w:rFonts w:hint="cs"/>
          <w:b/>
          <w:bCs/>
          <w:sz w:val="32"/>
          <w:szCs w:val="32"/>
          <w:u w:val="single"/>
          <w:rtl/>
        </w:rPr>
        <w:t xml:space="preserve"> </w:t>
      </w:r>
      <w:r>
        <w:rPr>
          <w:rFonts w:hint="cs"/>
          <w:b/>
          <w:bCs/>
          <w:sz w:val="32"/>
          <w:szCs w:val="32"/>
          <w:u w:val="single"/>
          <w:rtl/>
        </w:rPr>
        <w:t>הדילמות שעלו ב</w:t>
      </w:r>
      <w:r w:rsidRPr="00F548A9">
        <w:rPr>
          <w:rFonts w:hint="cs"/>
          <w:b/>
          <w:bCs/>
          <w:sz w:val="32"/>
          <w:szCs w:val="32"/>
          <w:u w:val="single"/>
          <w:rtl/>
        </w:rPr>
        <w:t>דיוני הצוות.</w:t>
      </w:r>
      <w:r>
        <w:rPr>
          <w:rFonts w:hint="cs"/>
          <w:b/>
          <w:bCs/>
          <w:sz w:val="32"/>
          <w:szCs w:val="32"/>
          <w:u w:val="single"/>
          <w:rtl/>
        </w:rPr>
        <w:t xml:space="preserve"> </w:t>
      </w:r>
    </w:p>
    <w:p w14:paraId="6B30340B" w14:textId="77777777" w:rsidR="00F548A9" w:rsidRDefault="0063002E" w:rsidP="0014301B">
      <w:pPr>
        <w:spacing w:line="360" w:lineRule="auto"/>
        <w:ind w:left="-360" w:hanging="514"/>
        <w:rPr>
          <w:rFonts w:hint="cs"/>
          <w:rtl/>
        </w:rPr>
      </w:pPr>
      <w:r>
        <w:rPr>
          <w:rtl/>
        </w:rPr>
        <w:t xml:space="preserve">    </w:t>
      </w:r>
      <w:r w:rsidR="00F548A9">
        <w:rPr>
          <w:rFonts w:hint="cs"/>
          <w:rtl/>
        </w:rPr>
        <w:t xml:space="preserve">      </w:t>
      </w:r>
      <w:r>
        <w:rPr>
          <w:rtl/>
        </w:rPr>
        <w:t xml:space="preserve"> </w:t>
      </w:r>
    </w:p>
    <w:p w14:paraId="33498481" w14:textId="77777777" w:rsidR="0014301B" w:rsidRDefault="0014301B" w:rsidP="0014301B">
      <w:pPr>
        <w:ind w:left="-23"/>
        <w:rPr>
          <w:rFonts w:hint="cs"/>
          <w:b/>
          <w:bCs/>
          <w:sz w:val="32"/>
          <w:szCs w:val="32"/>
          <w:u w:val="single"/>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0"/>
        <w:gridCol w:w="2841"/>
        <w:gridCol w:w="2841"/>
      </w:tblGrid>
      <w:tr w:rsidR="0014301B" w:rsidRPr="00A56260" w14:paraId="4965077E" w14:textId="77777777" w:rsidTr="00184AA2">
        <w:tc>
          <w:tcPr>
            <w:tcW w:w="2840" w:type="dxa"/>
            <w:shd w:val="clear" w:color="auto" w:fill="BFBFBF"/>
          </w:tcPr>
          <w:p w14:paraId="266D221B" w14:textId="77777777" w:rsidR="0014301B" w:rsidRPr="00A56260" w:rsidRDefault="0014301B" w:rsidP="00184AA2">
            <w:pPr>
              <w:spacing w:before="60" w:after="60" w:line="360" w:lineRule="auto"/>
              <w:jc w:val="center"/>
              <w:rPr>
                <w:rFonts w:cs="David"/>
                <w:b/>
                <w:bCs/>
                <w:rtl/>
              </w:rPr>
            </w:pPr>
            <w:r w:rsidRPr="00A56260">
              <w:rPr>
                <w:rFonts w:cs="David" w:hint="cs"/>
                <w:b/>
                <w:bCs/>
                <w:rtl/>
              </w:rPr>
              <w:lastRenderedPageBreak/>
              <w:t>נושא</w:t>
            </w:r>
          </w:p>
        </w:tc>
        <w:tc>
          <w:tcPr>
            <w:tcW w:w="2841" w:type="dxa"/>
            <w:shd w:val="clear" w:color="auto" w:fill="BFBFBF"/>
          </w:tcPr>
          <w:p w14:paraId="43C22619" w14:textId="77777777" w:rsidR="0014301B" w:rsidRPr="00A56260" w:rsidRDefault="0014301B" w:rsidP="00184AA2">
            <w:pPr>
              <w:spacing w:before="60" w:after="60" w:line="360" w:lineRule="auto"/>
              <w:jc w:val="center"/>
              <w:rPr>
                <w:rFonts w:cs="David"/>
                <w:b/>
                <w:bCs/>
                <w:rtl/>
              </w:rPr>
            </w:pPr>
            <w:r w:rsidRPr="00A56260">
              <w:rPr>
                <w:rFonts w:cs="David" w:hint="cs"/>
                <w:b/>
                <w:bCs/>
                <w:rtl/>
              </w:rPr>
              <w:t>שיוך פירותי</w:t>
            </w:r>
          </w:p>
        </w:tc>
        <w:tc>
          <w:tcPr>
            <w:tcW w:w="2841" w:type="dxa"/>
            <w:shd w:val="clear" w:color="auto" w:fill="BFBFBF"/>
          </w:tcPr>
          <w:p w14:paraId="0A3C6115" w14:textId="77777777" w:rsidR="0014301B" w:rsidRPr="00A56260" w:rsidRDefault="0014301B" w:rsidP="00184AA2">
            <w:pPr>
              <w:spacing w:before="60" w:after="60" w:line="360" w:lineRule="auto"/>
              <w:jc w:val="center"/>
              <w:rPr>
                <w:rFonts w:cs="David"/>
                <w:b/>
                <w:bCs/>
                <w:rtl/>
              </w:rPr>
            </w:pPr>
            <w:r w:rsidRPr="00A56260">
              <w:rPr>
                <w:rFonts w:cs="David" w:hint="cs"/>
                <w:b/>
                <w:bCs/>
                <w:rtl/>
              </w:rPr>
              <w:t>שיוך קנייני</w:t>
            </w:r>
          </w:p>
        </w:tc>
      </w:tr>
      <w:tr w:rsidR="0014301B" w:rsidRPr="00A56260" w14:paraId="041C2ACA" w14:textId="77777777" w:rsidTr="00184AA2">
        <w:tc>
          <w:tcPr>
            <w:tcW w:w="2840" w:type="dxa"/>
          </w:tcPr>
          <w:p w14:paraId="43DD54B3" w14:textId="77777777" w:rsidR="0014301B" w:rsidRPr="00A56260" w:rsidRDefault="0014301B" w:rsidP="00184AA2">
            <w:pPr>
              <w:spacing w:before="60" w:after="60" w:line="360" w:lineRule="auto"/>
              <w:rPr>
                <w:rFonts w:cs="David"/>
                <w:rtl/>
              </w:rPr>
            </w:pPr>
            <w:r w:rsidRPr="00A56260">
              <w:rPr>
                <w:rFonts w:cs="David" w:hint="cs"/>
                <w:rtl/>
              </w:rPr>
              <w:t>זכות הורשה</w:t>
            </w:r>
          </w:p>
        </w:tc>
        <w:tc>
          <w:tcPr>
            <w:tcW w:w="2841" w:type="dxa"/>
          </w:tcPr>
          <w:p w14:paraId="1D072E65" w14:textId="77777777" w:rsidR="0014301B" w:rsidRPr="00A56260" w:rsidRDefault="0014301B" w:rsidP="00184AA2">
            <w:pPr>
              <w:spacing w:before="60" w:after="60" w:line="360" w:lineRule="auto"/>
              <w:jc w:val="center"/>
              <w:rPr>
                <w:rFonts w:cs="David"/>
                <w:rtl/>
              </w:rPr>
            </w:pPr>
            <w:r w:rsidRPr="00A56260">
              <w:rPr>
                <w:rFonts w:cs="David" w:hint="cs"/>
                <w:rtl/>
              </w:rPr>
              <w:t>כן</w:t>
            </w:r>
          </w:p>
        </w:tc>
        <w:tc>
          <w:tcPr>
            <w:tcW w:w="2841" w:type="dxa"/>
          </w:tcPr>
          <w:p w14:paraId="378BAA97" w14:textId="77777777" w:rsidR="0014301B" w:rsidRPr="00A56260" w:rsidRDefault="0014301B" w:rsidP="00184AA2">
            <w:pPr>
              <w:spacing w:before="60" w:after="60" w:line="360" w:lineRule="auto"/>
              <w:jc w:val="center"/>
              <w:rPr>
                <w:rFonts w:cs="David"/>
                <w:rtl/>
              </w:rPr>
            </w:pPr>
            <w:r w:rsidRPr="00A56260">
              <w:rPr>
                <w:rFonts w:cs="David" w:hint="cs"/>
                <w:rtl/>
              </w:rPr>
              <w:t>כן</w:t>
            </w:r>
          </w:p>
        </w:tc>
      </w:tr>
      <w:tr w:rsidR="0014301B" w:rsidRPr="00A56260" w14:paraId="46E468D4" w14:textId="77777777" w:rsidTr="00184AA2">
        <w:tc>
          <w:tcPr>
            <w:tcW w:w="2840" w:type="dxa"/>
          </w:tcPr>
          <w:p w14:paraId="47A2493F" w14:textId="77777777" w:rsidR="0014301B" w:rsidRPr="00A56260" w:rsidRDefault="0014301B" w:rsidP="00184AA2">
            <w:pPr>
              <w:spacing w:before="60" w:after="60" w:line="360" w:lineRule="auto"/>
              <w:rPr>
                <w:rFonts w:cs="David"/>
                <w:rtl/>
              </w:rPr>
            </w:pPr>
            <w:r w:rsidRPr="00A56260">
              <w:rPr>
                <w:rFonts w:cs="David" w:hint="cs"/>
                <w:rtl/>
              </w:rPr>
              <w:t>זכות מוקנית לרווחים</w:t>
            </w:r>
          </w:p>
        </w:tc>
        <w:tc>
          <w:tcPr>
            <w:tcW w:w="2841" w:type="dxa"/>
          </w:tcPr>
          <w:p w14:paraId="37E0C2C4" w14:textId="77777777" w:rsidR="0014301B" w:rsidRPr="00A56260" w:rsidRDefault="0014301B" w:rsidP="00184AA2">
            <w:pPr>
              <w:spacing w:before="60" w:after="60" w:line="360" w:lineRule="auto"/>
              <w:jc w:val="center"/>
              <w:rPr>
                <w:rFonts w:cs="David"/>
                <w:rtl/>
              </w:rPr>
            </w:pPr>
            <w:r w:rsidRPr="00A56260">
              <w:rPr>
                <w:rFonts w:cs="David" w:hint="cs"/>
                <w:rtl/>
              </w:rPr>
              <w:t>כן</w:t>
            </w:r>
          </w:p>
        </w:tc>
        <w:tc>
          <w:tcPr>
            <w:tcW w:w="2841" w:type="dxa"/>
          </w:tcPr>
          <w:p w14:paraId="449C9A9E" w14:textId="77777777" w:rsidR="0014301B" w:rsidRPr="00A56260" w:rsidRDefault="0014301B" w:rsidP="00184AA2">
            <w:pPr>
              <w:spacing w:before="60" w:after="60" w:line="360" w:lineRule="auto"/>
              <w:jc w:val="center"/>
              <w:rPr>
                <w:rFonts w:cs="David"/>
                <w:rtl/>
              </w:rPr>
            </w:pPr>
            <w:r w:rsidRPr="00A56260">
              <w:rPr>
                <w:rFonts w:cs="David" w:hint="cs"/>
                <w:rtl/>
              </w:rPr>
              <w:t>כן</w:t>
            </w:r>
          </w:p>
        </w:tc>
      </w:tr>
      <w:tr w:rsidR="0014301B" w:rsidRPr="00A56260" w14:paraId="402A96C4" w14:textId="77777777" w:rsidTr="00184AA2">
        <w:tc>
          <w:tcPr>
            <w:tcW w:w="2840" w:type="dxa"/>
          </w:tcPr>
          <w:p w14:paraId="43966728" w14:textId="77777777" w:rsidR="0014301B" w:rsidRPr="00A56260" w:rsidRDefault="0014301B" w:rsidP="00184AA2">
            <w:pPr>
              <w:spacing w:before="60" w:after="60" w:line="360" w:lineRule="auto"/>
              <w:rPr>
                <w:rFonts w:cs="David"/>
                <w:rtl/>
              </w:rPr>
            </w:pPr>
            <w:r w:rsidRPr="00A56260">
              <w:rPr>
                <w:rFonts w:cs="David" w:hint="cs"/>
                <w:rtl/>
              </w:rPr>
              <w:t>חשוב לצמיחה דמוגרפית</w:t>
            </w:r>
          </w:p>
        </w:tc>
        <w:tc>
          <w:tcPr>
            <w:tcW w:w="2841" w:type="dxa"/>
          </w:tcPr>
          <w:p w14:paraId="7C0030B6" w14:textId="77777777" w:rsidR="0014301B" w:rsidRPr="00A56260" w:rsidRDefault="0014301B" w:rsidP="00184AA2">
            <w:pPr>
              <w:spacing w:before="60" w:after="60" w:line="360" w:lineRule="auto"/>
              <w:jc w:val="center"/>
              <w:rPr>
                <w:rFonts w:cs="David"/>
                <w:rtl/>
              </w:rPr>
            </w:pPr>
            <w:r w:rsidRPr="00A56260">
              <w:rPr>
                <w:rFonts w:cs="David" w:hint="cs"/>
                <w:rtl/>
              </w:rPr>
              <w:t>כן</w:t>
            </w:r>
          </w:p>
        </w:tc>
        <w:tc>
          <w:tcPr>
            <w:tcW w:w="2841" w:type="dxa"/>
          </w:tcPr>
          <w:p w14:paraId="2E59A563" w14:textId="77777777" w:rsidR="0014301B" w:rsidRPr="00A56260" w:rsidRDefault="0014301B" w:rsidP="00184AA2">
            <w:pPr>
              <w:spacing w:before="60" w:after="60" w:line="360" w:lineRule="auto"/>
              <w:jc w:val="center"/>
              <w:rPr>
                <w:rFonts w:cs="David"/>
                <w:rtl/>
              </w:rPr>
            </w:pPr>
            <w:r w:rsidRPr="00A56260">
              <w:rPr>
                <w:rFonts w:cs="David" w:hint="cs"/>
                <w:rtl/>
              </w:rPr>
              <w:t>כן</w:t>
            </w:r>
          </w:p>
        </w:tc>
      </w:tr>
      <w:tr w:rsidR="0014301B" w:rsidRPr="00A56260" w14:paraId="0263BD96" w14:textId="77777777" w:rsidTr="00184AA2">
        <w:tc>
          <w:tcPr>
            <w:tcW w:w="2840" w:type="dxa"/>
          </w:tcPr>
          <w:p w14:paraId="3CE6A1D7" w14:textId="77777777" w:rsidR="0014301B" w:rsidRPr="00A56260" w:rsidRDefault="0014301B" w:rsidP="00184AA2">
            <w:pPr>
              <w:spacing w:before="60" w:after="60" w:line="360" w:lineRule="auto"/>
              <w:rPr>
                <w:rFonts w:cs="David"/>
                <w:rtl/>
              </w:rPr>
            </w:pPr>
            <w:r w:rsidRPr="00A56260">
              <w:rPr>
                <w:rFonts w:cs="David" w:hint="cs"/>
                <w:rtl/>
              </w:rPr>
              <w:t>מה משויך</w:t>
            </w:r>
          </w:p>
        </w:tc>
        <w:tc>
          <w:tcPr>
            <w:tcW w:w="2841" w:type="dxa"/>
          </w:tcPr>
          <w:p w14:paraId="76DB7744" w14:textId="77777777" w:rsidR="0014301B" w:rsidRPr="00A56260" w:rsidRDefault="0014301B" w:rsidP="00184AA2">
            <w:pPr>
              <w:spacing w:before="60" w:after="60" w:line="360" w:lineRule="auto"/>
              <w:jc w:val="center"/>
              <w:rPr>
                <w:rFonts w:cs="David"/>
                <w:rtl/>
              </w:rPr>
            </w:pPr>
            <w:r w:rsidRPr="00A56260">
              <w:rPr>
                <w:rFonts w:cs="David" w:hint="cs"/>
                <w:rtl/>
              </w:rPr>
              <w:t>הזכות לפירות הנכסים</w:t>
            </w:r>
          </w:p>
        </w:tc>
        <w:tc>
          <w:tcPr>
            <w:tcW w:w="2841" w:type="dxa"/>
          </w:tcPr>
          <w:p w14:paraId="5C7B5474" w14:textId="77777777" w:rsidR="0014301B" w:rsidRPr="00A56260" w:rsidRDefault="0014301B" w:rsidP="00184AA2">
            <w:pPr>
              <w:spacing w:before="60" w:after="60" w:line="360" w:lineRule="auto"/>
              <w:jc w:val="center"/>
              <w:rPr>
                <w:rFonts w:cs="David"/>
                <w:rtl/>
              </w:rPr>
            </w:pPr>
            <w:r w:rsidRPr="00A56260">
              <w:rPr>
                <w:rFonts w:cs="David" w:hint="cs"/>
                <w:rtl/>
              </w:rPr>
              <w:t>הנכסים עצמם</w:t>
            </w:r>
          </w:p>
        </w:tc>
      </w:tr>
      <w:tr w:rsidR="0014301B" w:rsidRPr="00A56260" w14:paraId="6A39941A" w14:textId="77777777" w:rsidTr="00184AA2">
        <w:tc>
          <w:tcPr>
            <w:tcW w:w="2840" w:type="dxa"/>
          </w:tcPr>
          <w:p w14:paraId="476CD5FE" w14:textId="77777777" w:rsidR="0014301B" w:rsidRPr="00A56260" w:rsidRDefault="0014301B" w:rsidP="00184AA2">
            <w:pPr>
              <w:spacing w:before="60" w:after="60" w:line="360" w:lineRule="auto"/>
              <w:rPr>
                <w:rFonts w:cs="David"/>
                <w:rtl/>
              </w:rPr>
            </w:pPr>
            <w:r w:rsidRPr="00A56260">
              <w:rPr>
                <w:rFonts w:cs="David" w:hint="cs"/>
                <w:rtl/>
              </w:rPr>
              <w:t>תהליכים הכרוכים בהסדר</w:t>
            </w:r>
          </w:p>
        </w:tc>
        <w:tc>
          <w:tcPr>
            <w:tcW w:w="2841" w:type="dxa"/>
          </w:tcPr>
          <w:p w14:paraId="355A5B73" w14:textId="77777777" w:rsidR="0014301B" w:rsidRPr="00A56260" w:rsidRDefault="0014301B" w:rsidP="00184AA2">
            <w:pPr>
              <w:spacing w:before="60" w:after="60" w:line="360" w:lineRule="auto"/>
              <w:jc w:val="center"/>
              <w:rPr>
                <w:rFonts w:cs="David"/>
                <w:rtl/>
              </w:rPr>
            </w:pPr>
            <w:r w:rsidRPr="00A56260">
              <w:rPr>
                <w:rFonts w:cs="David" w:hint="cs"/>
                <w:rtl/>
              </w:rPr>
              <w:t>החלטת אסיפה בלבד</w:t>
            </w:r>
          </w:p>
        </w:tc>
        <w:tc>
          <w:tcPr>
            <w:tcW w:w="2841" w:type="dxa"/>
          </w:tcPr>
          <w:p w14:paraId="66732404" w14:textId="77777777" w:rsidR="0014301B" w:rsidRPr="00A56260" w:rsidRDefault="0014301B" w:rsidP="00184AA2">
            <w:pPr>
              <w:spacing w:before="60" w:after="60" w:line="360" w:lineRule="auto"/>
              <w:jc w:val="center"/>
              <w:rPr>
                <w:rFonts w:cs="David"/>
                <w:rtl/>
              </w:rPr>
            </w:pPr>
            <w:r w:rsidRPr="00A56260">
              <w:rPr>
                <w:rFonts w:cs="David" w:hint="cs"/>
                <w:rtl/>
              </w:rPr>
              <w:t>החלטת אסיפה, הקמת תאגיד חברים, הקצאת זכויות</w:t>
            </w:r>
          </w:p>
        </w:tc>
      </w:tr>
      <w:tr w:rsidR="0014301B" w:rsidRPr="00A56260" w14:paraId="030ACC08" w14:textId="77777777" w:rsidTr="00184AA2">
        <w:tc>
          <w:tcPr>
            <w:tcW w:w="2840" w:type="dxa"/>
          </w:tcPr>
          <w:p w14:paraId="3DF3A3CE" w14:textId="77777777" w:rsidR="0014301B" w:rsidRPr="00A56260" w:rsidRDefault="0014301B" w:rsidP="00184AA2">
            <w:pPr>
              <w:spacing w:before="60" w:after="60" w:line="360" w:lineRule="auto"/>
              <w:rPr>
                <w:rFonts w:cs="David"/>
                <w:rtl/>
              </w:rPr>
            </w:pPr>
            <w:r w:rsidRPr="00A56260">
              <w:rPr>
                <w:rFonts w:cs="David" w:hint="cs"/>
                <w:rtl/>
              </w:rPr>
              <w:t>מתווה שכיח</w:t>
            </w:r>
          </w:p>
        </w:tc>
        <w:tc>
          <w:tcPr>
            <w:tcW w:w="2841" w:type="dxa"/>
          </w:tcPr>
          <w:p w14:paraId="46DFE110" w14:textId="77777777" w:rsidR="0014301B" w:rsidRPr="00A56260" w:rsidRDefault="0014301B" w:rsidP="00184AA2">
            <w:pPr>
              <w:spacing w:before="60" w:after="60" w:line="360" w:lineRule="auto"/>
              <w:jc w:val="center"/>
              <w:rPr>
                <w:rFonts w:cs="David"/>
                <w:rtl/>
              </w:rPr>
            </w:pPr>
            <w:r w:rsidRPr="00A56260">
              <w:rPr>
                <w:rFonts w:cs="David" w:hint="cs"/>
                <w:rtl/>
              </w:rPr>
              <w:t>הגדרת סכום מוגדר לחלוקה לחברים ביום הקובע וליורשיהם ובמקביל חלוקה שוטפת לחברים (ונקלטים)</w:t>
            </w:r>
          </w:p>
        </w:tc>
        <w:tc>
          <w:tcPr>
            <w:tcW w:w="2841" w:type="dxa"/>
          </w:tcPr>
          <w:p w14:paraId="15CA0ABE" w14:textId="77777777" w:rsidR="0014301B" w:rsidRPr="00A56260" w:rsidRDefault="0014301B" w:rsidP="00184AA2">
            <w:pPr>
              <w:spacing w:before="60" w:after="60" w:line="360" w:lineRule="auto"/>
              <w:jc w:val="center"/>
              <w:rPr>
                <w:rFonts w:cs="David"/>
                <w:rtl/>
              </w:rPr>
            </w:pPr>
            <w:r w:rsidRPr="00A56260">
              <w:rPr>
                <w:rFonts w:cs="David" w:hint="cs"/>
                <w:rtl/>
              </w:rPr>
              <w:t>העברת חלק מן הזכויות בנכסים לתאגיד חברים, שיוך הזכויות בתאגיד החברים לחברים ביום הקובע</w:t>
            </w:r>
          </w:p>
        </w:tc>
      </w:tr>
      <w:tr w:rsidR="0014301B" w:rsidRPr="00A56260" w14:paraId="2DF31A52" w14:textId="77777777" w:rsidTr="00184AA2">
        <w:tc>
          <w:tcPr>
            <w:tcW w:w="2840" w:type="dxa"/>
          </w:tcPr>
          <w:p w14:paraId="5041FA70" w14:textId="77777777" w:rsidR="0014301B" w:rsidRPr="00A56260" w:rsidRDefault="0014301B" w:rsidP="00184AA2">
            <w:pPr>
              <w:spacing w:before="60" w:after="60" w:line="360" w:lineRule="auto"/>
              <w:rPr>
                <w:rFonts w:cs="David"/>
                <w:rtl/>
              </w:rPr>
            </w:pPr>
            <w:r w:rsidRPr="00A56260">
              <w:rPr>
                <w:rFonts w:cs="David" w:hint="cs"/>
                <w:rtl/>
              </w:rPr>
              <w:t xml:space="preserve">מחייב </w:t>
            </w:r>
            <w:proofErr w:type="spellStart"/>
            <w:r w:rsidRPr="00A56260">
              <w:rPr>
                <w:rFonts w:cs="David" w:hint="cs"/>
                <w:rtl/>
              </w:rPr>
              <w:t>תיאגוד</w:t>
            </w:r>
            <w:proofErr w:type="spellEnd"/>
          </w:p>
        </w:tc>
        <w:tc>
          <w:tcPr>
            <w:tcW w:w="2841" w:type="dxa"/>
          </w:tcPr>
          <w:p w14:paraId="0E3188FD" w14:textId="77777777" w:rsidR="0014301B" w:rsidRPr="00A56260" w:rsidRDefault="0014301B" w:rsidP="00184AA2">
            <w:pPr>
              <w:spacing w:before="60" w:after="60" w:line="360" w:lineRule="auto"/>
              <w:jc w:val="center"/>
              <w:rPr>
                <w:rFonts w:cs="David"/>
                <w:rtl/>
              </w:rPr>
            </w:pPr>
            <w:r w:rsidRPr="00A56260">
              <w:rPr>
                <w:rFonts w:cs="David" w:hint="cs"/>
                <w:rtl/>
              </w:rPr>
              <w:t>לא</w:t>
            </w:r>
          </w:p>
        </w:tc>
        <w:tc>
          <w:tcPr>
            <w:tcW w:w="2841" w:type="dxa"/>
          </w:tcPr>
          <w:p w14:paraId="1D61046A" w14:textId="77777777" w:rsidR="0014301B" w:rsidRPr="00A56260" w:rsidRDefault="0014301B" w:rsidP="00184AA2">
            <w:pPr>
              <w:spacing w:before="60" w:after="60" w:line="360" w:lineRule="auto"/>
              <w:jc w:val="center"/>
              <w:rPr>
                <w:rFonts w:cs="David"/>
                <w:rtl/>
              </w:rPr>
            </w:pPr>
            <w:r w:rsidRPr="00A56260">
              <w:rPr>
                <w:rFonts w:cs="David" w:hint="cs"/>
                <w:rtl/>
              </w:rPr>
              <w:t>כן</w:t>
            </w:r>
          </w:p>
        </w:tc>
      </w:tr>
      <w:tr w:rsidR="0014301B" w:rsidRPr="00A56260" w14:paraId="6F3B3FDF" w14:textId="77777777" w:rsidTr="00184AA2">
        <w:tc>
          <w:tcPr>
            <w:tcW w:w="2840" w:type="dxa"/>
          </w:tcPr>
          <w:p w14:paraId="62457E06" w14:textId="77777777" w:rsidR="0014301B" w:rsidRPr="00A56260" w:rsidRDefault="0014301B" w:rsidP="00184AA2">
            <w:pPr>
              <w:spacing w:before="60" w:after="60" w:line="360" w:lineRule="auto"/>
              <w:rPr>
                <w:rFonts w:cs="David"/>
                <w:rtl/>
              </w:rPr>
            </w:pPr>
            <w:r w:rsidRPr="00A56260">
              <w:rPr>
                <w:rFonts w:cs="David" w:hint="cs"/>
                <w:rtl/>
              </w:rPr>
              <w:t>מחייב הסדרים לשמירת שליטת הקיבוץ בנכסים</w:t>
            </w:r>
          </w:p>
        </w:tc>
        <w:tc>
          <w:tcPr>
            <w:tcW w:w="2841" w:type="dxa"/>
          </w:tcPr>
          <w:p w14:paraId="1F009BE6" w14:textId="77777777" w:rsidR="0014301B" w:rsidRPr="00A56260" w:rsidRDefault="0014301B" w:rsidP="00184AA2">
            <w:pPr>
              <w:spacing w:before="60" w:after="60" w:line="360" w:lineRule="auto"/>
              <w:jc w:val="center"/>
              <w:rPr>
                <w:rFonts w:cs="David"/>
                <w:rtl/>
              </w:rPr>
            </w:pPr>
            <w:r w:rsidRPr="00A56260">
              <w:rPr>
                <w:rFonts w:cs="David" w:hint="cs"/>
                <w:rtl/>
              </w:rPr>
              <w:t>לא</w:t>
            </w:r>
          </w:p>
        </w:tc>
        <w:tc>
          <w:tcPr>
            <w:tcW w:w="2841" w:type="dxa"/>
          </w:tcPr>
          <w:p w14:paraId="756999B9" w14:textId="77777777" w:rsidR="0014301B" w:rsidRPr="00A56260" w:rsidRDefault="0014301B" w:rsidP="00184AA2">
            <w:pPr>
              <w:spacing w:before="60" w:after="60" w:line="360" w:lineRule="auto"/>
              <w:jc w:val="center"/>
              <w:rPr>
                <w:rFonts w:cs="David" w:hint="cs"/>
                <w:rtl/>
              </w:rPr>
            </w:pPr>
            <w:r w:rsidRPr="00A56260">
              <w:rPr>
                <w:rFonts w:cs="David" w:hint="cs"/>
                <w:rtl/>
              </w:rPr>
              <w:t>כן</w:t>
            </w:r>
          </w:p>
        </w:tc>
      </w:tr>
      <w:tr w:rsidR="0014301B" w:rsidRPr="00A56260" w14:paraId="119B15EF" w14:textId="77777777" w:rsidTr="00184AA2">
        <w:tc>
          <w:tcPr>
            <w:tcW w:w="2840" w:type="dxa"/>
          </w:tcPr>
          <w:p w14:paraId="4F0E3CFB" w14:textId="77777777" w:rsidR="0014301B" w:rsidRPr="00A56260" w:rsidRDefault="0014301B" w:rsidP="00184AA2">
            <w:pPr>
              <w:spacing w:before="60" w:after="60" w:line="360" w:lineRule="auto"/>
              <w:rPr>
                <w:rFonts w:cs="David" w:hint="cs"/>
                <w:rtl/>
              </w:rPr>
            </w:pPr>
            <w:r w:rsidRPr="00A56260">
              <w:rPr>
                <w:rFonts w:cs="David" w:hint="cs"/>
                <w:rtl/>
              </w:rPr>
              <w:t>נדרש יום קובע</w:t>
            </w:r>
          </w:p>
        </w:tc>
        <w:tc>
          <w:tcPr>
            <w:tcW w:w="2841" w:type="dxa"/>
          </w:tcPr>
          <w:p w14:paraId="70464378" w14:textId="77777777" w:rsidR="0014301B" w:rsidRPr="00A56260" w:rsidRDefault="0014301B" w:rsidP="00184AA2">
            <w:pPr>
              <w:spacing w:before="60" w:after="60" w:line="360" w:lineRule="auto"/>
              <w:jc w:val="center"/>
              <w:rPr>
                <w:rFonts w:cs="David"/>
                <w:rtl/>
              </w:rPr>
            </w:pPr>
            <w:r w:rsidRPr="00A56260">
              <w:rPr>
                <w:rFonts w:cs="David" w:hint="cs"/>
                <w:rtl/>
              </w:rPr>
              <w:t>כן</w:t>
            </w:r>
          </w:p>
        </w:tc>
        <w:tc>
          <w:tcPr>
            <w:tcW w:w="2841" w:type="dxa"/>
          </w:tcPr>
          <w:p w14:paraId="52974E13" w14:textId="77777777" w:rsidR="0014301B" w:rsidRPr="00A56260" w:rsidRDefault="0014301B" w:rsidP="00184AA2">
            <w:pPr>
              <w:spacing w:before="60" w:after="60" w:line="360" w:lineRule="auto"/>
              <w:jc w:val="center"/>
              <w:rPr>
                <w:rFonts w:cs="David" w:hint="cs"/>
                <w:rtl/>
              </w:rPr>
            </w:pPr>
            <w:r w:rsidRPr="00A56260">
              <w:rPr>
                <w:rFonts w:cs="David" w:hint="cs"/>
                <w:rtl/>
              </w:rPr>
              <w:t>כן</w:t>
            </w:r>
          </w:p>
        </w:tc>
      </w:tr>
      <w:tr w:rsidR="0014301B" w:rsidRPr="00A56260" w14:paraId="35BEF4C2" w14:textId="77777777" w:rsidTr="00184AA2">
        <w:tc>
          <w:tcPr>
            <w:tcW w:w="2840" w:type="dxa"/>
          </w:tcPr>
          <w:p w14:paraId="05A51BF0" w14:textId="77777777" w:rsidR="0014301B" w:rsidRPr="00A56260" w:rsidRDefault="0014301B" w:rsidP="00184AA2">
            <w:pPr>
              <w:spacing w:before="60" w:after="60" w:line="360" w:lineRule="auto"/>
              <w:rPr>
                <w:rFonts w:cs="David"/>
                <w:rtl/>
              </w:rPr>
            </w:pPr>
            <w:r w:rsidRPr="00A56260">
              <w:rPr>
                <w:rFonts w:cs="David" w:hint="cs"/>
                <w:rtl/>
              </w:rPr>
              <w:t>נדרש מפתח שיוך</w:t>
            </w:r>
          </w:p>
        </w:tc>
        <w:tc>
          <w:tcPr>
            <w:tcW w:w="2841" w:type="dxa"/>
          </w:tcPr>
          <w:p w14:paraId="2A2D7CD0" w14:textId="77777777" w:rsidR="0014301B" w:rsidRPr="00A56260" w:rsidRDefault="0014301B" w:rsidP="00184AA2">
            <w:pPr>
              <w:spacing w:before="60" w:after="60" w:line="360" w:lineRule="auto"/>
              <w:jc w:val="center"/>
              <w:rPr>
                <w:rFonts w:cs="David"/>
                <w:rtl/>
              </w:rPr>
            </w:pPr>
            <w:r w:rsidRPr="00A56260">
              <w:rPr>
                <w:rFonts w:cs="David" w:hint="cs"/>
                <w:rtl/>
              </w:rPr>
              <w:t>כן</w:t>
            </w:r>
          </w:p>
        </w:tc>
        <w:tc>
          <w:tcPr>
            <w:tcW w:w="2841" w:type="dxa"/>
          </w:tcPr>
          <w:p w14:paraId="2E19FB00" w14:textId="77777777" w:rsidR="0014301B" w:rsidRPr="00A56260" w:rsidRDefault="0014301B" w:rsidP="00184AA2">
            <w:pPr>
              <w:spacing w:before="60" w:after="60" w:line="360" w:lineRule="auto"/>
              <w:jc w:val="center"/>
              <w:rPr>
                <w:rFonts w:cs="David"/>
                <w:rtl/>
              </w:rPr>
            </w:pPr>
            <w:r w:rsidRPr="00A56260">
              <w:rPr>
                <w:rFonts w:cs="David" w:hint="cs"/>
                <w:rtl/>
              </w:rPr>
              <w:t>כן</w:t>
            </w:r>
          </w:p>
        </w:tc>
      </w:tr>
      <w:tr w:rsidR="0014301B" w:rsidRPr="00A56260" w14:paraId="1BDA7048" w14:textId="77777777" w:rsidTr="00184AA2">
        <w:tc>
          <w:tcPr>
            <w:tcW w:w="2840" w:type="dxa"/>
          </w:tcPr>
          <w:p w14:paraId="79C0946F" w14:textId="77777777" w:rsidR="0014301B" w:rsidRPr="00A56260" w:rsidRDefault="0014301B" w:rsidP="00184AA2">
            <w:pPr>
              <w:spacing w:before="60" w:after="60" w:line="360" w:lineRule="auto"/>
              <w:rPr>
                <w:rFonts w:cs="David"/>
                <w:rtl/>
              </w:rPr>
            </w:pPr>
            <w:r w:rsidRPr="00A56260">
              <w:rPr>
                <w:rFonts w:cs="David" w:hint="cs"/>
                <w:rtl/>
              </w:rPr>
              <w:t>נדרש מדרג שימוש ברווחים</w:t>
            </w:r>
          </w:p>
        </w:tc>
        <w:tc>
          <w:tcPr>
            <w:tcW w:w="2841" w:type="dxa"/>
          </w:tcPr>
          <w:p w14:paraId="6C0B5DFB" w14:textId="77777777" w:rsidR="0014301B" w:rsidRPr="00A56260" w:rsidRDefault="0014301B" w:rsidP="00184AA2">
            <w:pPr>
              <w:spacing w:before="60" w:after="60" w:line="360" w:lineRule="auto"/>
              <w:jc w:val="center"/>
              <w:rPr>
                <w:rFonts w:cs="David"/>
                <w:rtl/>
              </w:rPr>
            </w:pPr>
            <w:r w:rsidRPr="00A56260">
              <w:rPr>
                <w:rFonts w:cs="David" w:hint="cs"/>
                <w:rtl/>
              </w:rPr>
              <w:t>כן</w:t>
            </w:r>
          </w:p>
        </w:tc>
        <w:tc>
          <w:tcPr>
            <w:tcW w:w="2841" w:type="dxa"/>
          </w:tcPr>
          <w:p w14:paraId="0B216989" w14:textId="77777777" w:rsidR="0014301B" w:rsidRPr="00A56260" w:rsidRDefault="0014301B" w:rsidP="00184AA2">
            <w:pPr>
              <w:spacing w:before="60" w:after="60" w:line="360" w:lineRule="auto"/>
              <w:jc w:val="center"/>
              <w:rPr>
                <w:rFonts w:cs="David"/>
                <w:rtl/>
              </w:rPr>
            </w:pPr>
            <w:r w:rsidRPr="00A56260">
              <w:rPr>
                <w:rFonts w:cs="David" w:hint="cs"/>
                <w:rtl/>
              </w:rPr>
              <w:t>כן</w:t>
            </w:r>
          </w:p>
        </w:tc>
      </w:tr>
      <w:tr w:rsidR="0014301B" w:rsidRPr="00A56260" w14:paraId="542A4418" w14:textId="77777777" w:rsidTr="00184AA2">
        <w:tc>
          <w:tcPr>
            <w:tcW w:w="2840" w:type="dxa"/>
          </w:tcPr>
          <w:p w14:paraId="261246E2" w14:textId="77777777" w:rsidR="0014301B" w:rsidRPr="00A56260" w:rsidRDefault="0014301B" w:rsidP="00184AA2">
            <w:pPr>
              <w:spacing w:before="60" w:after="60" w:line="360" w:lineRule="auto"/>
              <w:rPr>
                <w:rFonts w:cs="David" w:hint="cs"/>
                <w:rtl/>
              </w:rPr>
            </w:pPr>
            <w:r w:rsidRPr="00A56260">
              <w:rPr>
                <w:rFonts w:cs="David" w:hint="cs"/>
                <w:rtl/>
              </w:rPr>
              <w:t>על חשבון דמי עזיבה</w:t>
            </w:r>
          </w:p>
        </w:tc>
        <w:tc>
          <w:tcPr>
            <w:tcW w:w="2841" w:type="dxa"/>
          </w:tcPr>
          <w:p w14:paraId="263625F1" w14:textId="77777777" w:rsidR="0014301B" w:rsidRPr="00A56260" w:rsidRDefault="0014301B" w:rsidP="00184AA2">
            <w:pPr>
              <w:spacing w:before="60" w:after="60" w:line="360" w:lineRule="auto"/>
              <w:jc w:val="center"/>
              <w:rPr>
                <w:rFonts w:cs="David"/>
                <w:rtl/>
              </w:rPr>
            </w:pPr>
            <w:r w:rsidRPr="00A56260">
              <w:rPr>
                <w:rFonts w:cs="David" w:hint="cs"/>
                <w:rtl/>
              </w:rPr>
              <w:t>בדרך כלל כן</w:t>
            </w:r>
          </w:p>
        </w:tc>
        <w:tc>
          <w:tcPr>
            <w:tcW w:w="2841" w:type="dxa"/>
          </w:tcPr>
          <w:p w14:paraId="065A603A" w14:textId="77777777" w:rsidR="0014301B" w:rsidRPr="00A56260" w:rsidRDefault="0014301B" w:rsidP="00184AA2">
            <w:pPr>
              <w:spacing w:before="60" w:after="60" w:line="360" w:lineRule="auto"/>
              <w:jc w:val="center"/>
              <w:rPr>
                <w:rFonts w:cs="David"/>
                <w:rtl/>
              </w:rPr>
            </w:pPr>
            <w:r w:rsidRPr="00A56260">
              <w:rPr>
                <w:rFonts w:cs="David" w:hint="cs"/>
                <w:rtl/>
              </w:rPr>
              <w:t>בדרך כלל כן</w:t>
            </w:r>
          </w:p>
        </w:tc>
      </w:tr>
      <w:tr w:rsidR="0014301B" w:rsidRPr="00A56260" w14:paraId="28286CA7" w14:textId="77777777" w:rsidTr="00184AA2">
        <w:tc>
          <w:tcPr>
            <w:tcW w:w="2840" w:type="dxa"/>
          </w:tcPr>
          <w:p w14:paraId="7483414E" w14:textId="77777777" w:rsidR="0014301B" w:rsidRPr="00A56260" w:rsidRDefault="0014301B" w:rsidP="00184AA2">
            <w:pPr>
              <w:spacing w:before="60" w:after="60" w:line="360" w:lineRule="auto"/>
              <w:rPr>
                <w:rFonts w:cs="David"/>
                <w:rtl/>
              </w:rPr>
            </w:pPr>
            <w:r w:rsidRPr="00A56260">
              <w:rPr>
                <w:rFonts w:cs="David" w:hint="cs"/>
                <w:rtl/>
              </w:rPr>
              <w:t>הזכות המשויכת</w:t>
            </w:r>
          </w:p>
        </w:tc>
        <w:tc>
          <w:tcPr>
            <w:tcW w:w="2841" w:type="dxa"/>
          </w:tcPr>
          <w:p w14:paraId="6A6D3F73" w14:textId="77777777" w:rsidR="0014301B" w:rsidRPr="00A56260" w:rsidRDefault="0014301B" w:rsidP="00184AA2">
            <w:pPr>
              <w:spacing w:before="60" w:after="60" w:line="360" w:lineRule="auto"/>
              <w:jc w:val="center"/>
              <w:rPr>
                <w:rFonts w:cs="David"/>
                <w:rtl/>
              </w:rPr>
            </w:pPr>
            <w:r w:rsidRPr="00A56260">
              <w:rPr>
                <w:rFonts w:cs="David" w:hint="cs"/>
                <w:rtl/>
              </w:rPr>
              <w:t>מתכלה</w:t>
            </w:r>
          </w:p>
        </w:tc>
        <w:tc>
          <w:tcPr>
            <w:tcW w:w="2841" w:type="dxa"/>
          </w:tcPr>
          <w:p w14:paraId="7C281131" w14:textId="77777777" w:rsidR="0014301B" w:rsidRPr="00A56260" w:rsidRDefault="0014301B" w:rsidP="00184AA2">
            <w:pPr>
              <w:spacing w:before="60" w:after="60" w:line="360" w:lineRule="auto"/>
              <w:jc w:val="center"/>
              <w:rPr>
                <w:rFonts w:cs="David"/>
                <w:rtl/>
              </w:rPr>
            </w:pPr>
            <w:r w:rsidRPr="00A56260">
              <w:rPr>
                <w:rFonts w:cs="David" w:hint="cs"/>
                <w:rtl/>
              </w:rPr>
              <w:t>נצחית</w:t>
            </w:r>
          </w:p>
        </w:tc>
      </w:tr>
      <w:tr w:rsidR="0014301B" w:rsidRPr="00A56260" w14:paraId="0BF38100" w14:textId="77777777" w:rsidTr="00184AA2">
        <w:tc>
          <w:tcPr>
            <w:tcW w:w="2840" w:type="dxa"/>
          </w:tcPr>
          <w:p w14:paraId="31DD1338" w14:textId="77777777" w:rsidR="0014301B" w:rsidRPr="00A56260" w:rsidRDefault="0014301B" w:rsidP="00184AA2">
            <w:pPr>
              <w:spacing w:before="60" w:after="60" w:line="360" w:lineRule="auto"/>
              <w:rPr>
                <w:rFonts w:cs="David" w:hint="cs"/>
                <w:rtl/>
              </w:rPr>
            </w:pPr>
            <w:r w:rsidRPr="00A56260">
              <w:rPr>
                <w:rFonts w:cs="David" w:hint="cs"/>
                <w:rtl/>
              </w:rPr>
              <w:t>רמת המורכבות לגיבוש ויישום</w:t>
            </w:r>
          </w:p>
        </w:tc>
        <w:tc>
          <w:tcPr>
            <w:tcW w:w="2841" w:type="dxa"/>
          </w:tcPr>
          <w:p w14:paraId="093708F0" w14:textId="77777777" w:rsidR="0014301B" w:rsidRPr="00A56260" w:rsidRDefault="0014301B" w:rsidP="00184AA2">
            <w:pPr>
              <w:spacing w:before="60" w:after="60" w:line="360" w:lineRule="auto"/>
              <w:jc w:val="center"/>
              <w:rPr>
                <w:rFonts w:cs="David"/>
                <w:rtl/>
              </w:rPr>
            </w:pPr>
            <w:r w:rsidRPr="00A56260">
              <w:rPr>
                <w:rFonts w:cs="David" w:hint="cs"/>
                <w:rtl/>
              </w:rPr>
              <w:t>פשוטה</w:t>
            </w:r>
          </w:p>
        </w:tc>
        <w:tc>
          <w:tcPr>
            <w:tcW w:w="2841" w:type="dxa"/>
          </w:tcPr>
          <w:p w14:paraId="1F5E9E81" w14:textId="77777777" w:rsidR="0014301B" w:rsidRPr="00A56260" w:rsidRDefault="0014301B" w:rsidP="00184AA2">
            <w:pPr>
              <w:spacing w:before="60" w:after="60" w:line="360" w:lineRule="auto"/>
              <w:jc w:val="center"/>
              <w:rPr>
                <w:rFonts w:cs="David"/>
                <w:rtl/>
              </w:rPr>
            </w:pPr>
            <w:r w:rsidRPr="00A56260">
              <w:rPr>
                <w:rFonts w:cs="David" w:hint="cs"/>
                <w:rtl/>
              </w:rPr>
              <w:t>מורכבת</w:t>
            </w:r>
          </w:p>
        </w:tc>
      </w:tr>
      <w:tr w:rsidR="0014301B" w:rsidRPr="00A56260" w14:paraId="6447DF9A" w14:textId="77777777" w:rsidTr="00184AA2">
        <w:tc>
          <w:tcPr>
            <w:tcW w:w="2840" w:type="dxa"/>
          </w:tcPr>
          <w:p w14:paraId="17A89114" w14:textId="77777777" w:rsidR="0014301B" w:rsidRPr="00A56260" w:rsidRDefault="0014301B" w:rsidP="00184AA2">
            <w:pPr>
              <w:spacing w:before="60" w:after="60" w:line="360" w:lineRule="auto"/>
              <w:rPr>
                <w:rFonts w:cs="David" w:hint="cs"/>
                <w:rtl/>
              </w:rPr>
            </w:pPr>
            <w:r w:rsidRPr="00A56260">
              <w:rPr>
                <w:rFonts w:cs="David" w:hint="cs"/>
                <w:rtl/>
              </w:rPr>
              <w:t>הבעלות בנכסים</w:t>
            </w:r>
          </w:p>
        </w:tc>
        <w:tc>
          <w:tcPr>
            <w:tcW w:w="2841" w:type="dxa"/>
          </w:tcPr>
          <w:p w14:paraId="38D268F5" w14:textId="77777777" w:rsidR="0014301B" w:rsidRPr="00A56260" w:rsidRDefault="0014301B" w:rsidP="00184AA2">
            <w:pPr>
              <w:spacing w:before="60" w:after="60" w:line="360" w:lineRule="auto"/>
              <w:jc w:val="center"/>
              <w:rPr>
                <w:rFonts w:cs="David"/>
                <w:rtl/>
              </w:rPr>
            </w:pPr>
            <w:r w:rsidRPr="00A56260">
              <w:rPr>
                <w:rFonts w:cs="David" w:hint="cs"/>
                <w:rtl/>
              </w:rPr>
              <w:t>של הקיבוץ בלבד</w:t>
            </w:r>
          </w:p>
        </w:tc>
        <w:tc>
          <w:tcPr>
            <w:tcW w:w="2841" w:type="dxa"/>
          </w:tcPr>
          <w:p w14:paraId="7B115DC9" w14:textId="77777777" w:rsidR="0014301B" w:rsidRPr="00A56260" w:rsidRDefault="0014301B" w:rsidP="00184AA2">
            <w:pPr>
              <w:spacing w:before="60" w:after="60" w:line="360" w:lineRule="auto"/>
              <w:jc w:val="center"/>
              <w:rPr>
                <w:rFonts w:cs="David"/>
                <w:rtl/>
              </w:rPr>
            </w:pPr>
            <w:r w:rsidRPr="00A56260">
              <w:rPr>
                <w:rFonts w:cs="David" w:hint="cs"/>
                <w:rtl/>
              </w:rPr>
              <w:t>מתחלקת בין הקיבוץ, חבריו ואחרים (יורשים, עוזבים)</w:t>
            </w:r>
          </w:p>
        </w:tc>
      </w:tr>
      <w:tr w:rsidR="0014301B" w:rsidRPr="00A56260" w14:paraId="6ED714DF" w14:textId="77777777" w:rsidTr="00184AA2">
        <w:tc>
          <w:tcPr>
            <w:tcW w:w="2840" w:type="dxa"/>
          </w:tcPr>
          <w:p w14:paraId="345A1341" w14:textId="77777777" w:rsidR="0014301B" w:rsidRPr="00A56260" w:rsidRDefault="0014301B" w:rsidP="00184AA2">
            <w:pPr>
              <w:spacing w:before="60" w:after="60" w:line="360" w:lineRule="auto"/>
              <w:rPr>
                <w:rFonts w:cs="David" w:hint="cs"/>
                <w:rtl/>
              </w:rPr>
            </w:pPr>
            <w:r w:rsidRPr="00A56260">
              <w:rPr>
                <w:rFonts w:cs="David" w:hint="cs"/>
                <w:rtl/>
              </w:rPr>
              <w:t>מה מורישים</w:t>
            </w:r>
          </w:p>
        </w:tc>
        <w:tc>
          <w:tcPr>
            <w:tcW w:w="2841" w:type="dxa"/>
          </w:tcPr>
          <w:p w14:paraId="7EA16533" w14:textId="77777777" w:rsidR="0014301B" w:rsidRPr="00A56260" w:rsidRDefault="0014301B" w:rsidP="00184AA2">
            <w:pPr>
              <w:spacing w:before="60" w:after="60" w:line="360" w:lineRule="auto"/>
              <w:jc w:val="center"/>
              <w:rPr>
                <w:rFonts w:cs="David" w:hint="cs"/>
                <w:rtl/>
              </w:rPr>
            </w:pPr>
            <w:r w:rsidRPr="00A56260">
              <w:rPr>
                <w:rFonts w:cs="David" w:hint="cs"/>
                <w:rtl/>
              </w:rPr>
              <w:t>יתרת הסכום המוגדר שלא חולקה למוריש</w:t>
            </w:r>
          </w:p>
        </w:tc>
        <w:tc>
          <w:tcPr>
            <w:tcW w:w="2841" w:type="dxa"/>
          </w:tcPr>
          <w:p w14:paraId="10B44566" w14:textId="77777777" w:rsidR="0014301B" w:rsidRPr="00A56260" w:rsidRDefault="0014301B" w:rsidP="00184AA2">
            <w:pPr>
              <w:spacing w:before="60" w:after="60" w:line="360" w:lineRule="auto"/>
              <w:jc w:val="center"/>
              <w:rPr>
                <w:rFonts w:cs="David" w:hint="cs"/>
                <w:rtl/>
              </w:rPr>
            </w:pPr>
            <w:r w:rsidRPr="00A56260">
              <w:rPr>
                <w:rFonts w:cs="David" w:hint="cs"/>
                <w:rtl/>
              </w:rPr>
              <w:t>זכות המוריש בנכסים</w:t>
            </w:r>
          </w:p>
        </w:tc>
      </w:tr>
      <w:tr w:rsidR="0014301B" w:rsidRPr="00A56260" w14:paraId="62EA84E4" w14:textId="77777777" w:rsidTr="00184AA2">
        <w:tc>
          <w:tcPr>
            <w:tcW w:w="2840" w:type="dxa"/>
          </w:tcPr>
          <w:p w14:paraId="4C489F67" w14:textId="77777777" w:rsidR="0014301B" w:rsidRPr="00A56260" w:rsidRDefault="0014301B" w:rsidP="00184AA2">
            <w:pPr>
              <w:spacing w:before="60" w:after="60" w:line="360" w:lineRule="auto"/>
              <w:rPr>
                <w:rFonts w:cs="David" w:hint="cs"/>
                <w:rtl/>
              </w:rPr>
            </w:pPr>
            <w:r w:rsidRPr="00A56260">
              <w:rPr>
                <w:rFonts w:cs="David" w:hint="cs"/>
                <w:rtl/>
              </w:rPr>
              <w:t>יוצר זכות קניינית פורמאלית</w:t>
            </w:r>
          </w:p>
        </w:tc>
        <w:tc>
          <w:tcPr>
            <w:tcW w:w="2841" w:type="dxa"/>
          </w:tcPr>
          <w:p w14:paraId="19181DF1" w14:textId="77777777" w:rsidR="0014301B" w:rsidRPr="00A56260" w:rsidRDefault="0014301B" w:rsidP="00184AA2">
            <w:pPr>
              <w:spacing w:before="60" w:after="60" w:line="360" w:lineRule="auto"/>
              <w:jc w:val="center"/>
              <w:rPr>
                <w:rFonts w:cs="David"/>
                <w:rtl/>
              </w:rPr>
            </w:pPr>
            <w:r w:rsidRPr="00A56260">
              <w:rPr>
                <w:rFonts w:cs="David" w:hint="cs"/>
                <w:rtl/>
              </w:rPr>
              <w:t>לא</w:t>
            </w:r>
          </w:p>
        </w:tc>
        <w:tc>
          <w:tcPr>
            <w:tcW w:w="2841" w:type="dxa"/>
          </w:tcPr>
          <w:p w14:paraId="4D417321" w14:textId="77777777" w:rsidR="0014301B" w:rsidRPr="00A56260" w:rsidRDefault="0014301B" w:rsidP="00184AA2">
            <w:pPr>
              <w:spacing w:before="60" w:after="60" w:line="360" w:lineRule="auto"/>
              <w:jc w:val="center"/>
              <w:rPr>
                <w:rFonts w:cs="David"/>
                <w:rtl/>
              </w:rPr>
            </w:pPr>
            <w:r w:rsidRPr="00A56260">
              <w:rPr>
                <w:rFonts w:cs="David" w:hint="cs"/>
                <w:rtl/>
              </w:rPr>
              <w:t>כן</w:t>
            </w:r>
          </w:p>
        </w:tc>
      </w:tr>
      <w:tr w:rsidR="0014301B" w:rsidRPr="00A56260" w14:paraId="168CFF25" w14:textId="77777777" w:rsidTr="00184AA2">
        <w:tc>
          <w:tcPr>
            <w:tcW w:w="2840" w:type="dxa"/>
          </w:tcPr>
          <w:p w14:paraId="59F8F8BE" w14:textId="77777777" w:rsidR="0014301B" w:rsidRPr="00A56260" w:rsidRDefault="0014301B" w:rsidP="00184AA2">
            <w:pPr>
              <w:spacing w:before="60" w:after="60" w:line="360" w:lineRule="auto"/>
              <w:rPr>
                <w:rFonts w:cs="David"/>
                <w:rtl/>
              </w:rPr>
            </w:pPr>
            <w:r w:rsidRPr="00A56260">
              <w:rPr>
                <w:rFonts w:cs="David" w:hint="cs"/>
                <w:rtl/>
              </w:rPr>
              <w:t>צורך בפטור ממס</w:t>
            </w:r>
          </w:p>
        </w:tc>
        <w:tc>
          <w:tcPr>
            <w:tcW w:w="2841" w:type="dxa"/>
          </w:tcPr>
          <w:p w14:paraId="3F6B69AA" w14:textId="77777777" w:rsidR="0014301B" w:rsidRPr="00A56260" w:rsidRDefault="0014301B" w:rsidP="00184AA2">
            <w:pPr>
              <w:spacing w:before="60" w:after="60" w:line="360" w:lineRule="auto"/>
              <w:jc w:val="center"/>
              <w:rPr>
                <w:rFonts w:cs="David"/>
                <w:rtl/>
              </w:rPr>
            </w:pPr>
            <w:r w:rsidRPr="00A56260">
              <w:rPr>
                <w:rFonts w:cs="David" w:hint="cs"/>
                <w:rtl/>
              </w:rPr>
              <w:t>לא</w:t>
            </w:r>
          </w:p>
        </w:tc>
        <w:tc>
          <w:tcPr>
            <w:tcW w:w="2841" w:type="dxa"/>
          </w:tcPr>
          <w:p w14:paraId="16C17407" w14:textId="77777777" w:rsidR="0014301B" w:rsidRPr="00A56260" w:rsidRDefault="0014301B" w:rsidP="00184AA2">
            <w:pPr>
              <w:spacing w:before="60" w:after="60" w:line="360" w:lineRule="auto"/>
              <w:jc w:val="center"/>
              <w:rPr>
                <w:rFonts w:cs="David"/>
                <w:rtl/>
              </w:rPr>
            </w:pPr>
            <w:r w:rsidRPr="00A56260">
              <w:rPr>
                <w:rFonts w:cs="David" w:hint="cs"/>
                <w:rtl/>
              </w:rPr>
              <w:t>כן</w:t>
            </w:r>
          </w:p>
        </w:tc>
      </w:tr>
      <w:tr w:rsidR="0014301B" w:rsidRPr="00A56260" w14:paraId="13A9055C" w14:textId="77777777" w:rsidTr="00184AA2">
        <w:tc>
          <w:tcPr>
            <w:tcW w:w="2840" w:type="dxa"/>
          </w:tcPr>
          <w:p w14:paraId="3A24F6AC" w14:textId="77777777" w:rsidR="0014301B" w:rsidRPr="00A56260" w:rsidRDefault="0014301B" w:rsidP="00184AA2">
            <w:pPr>
              <w:spacing w:before="60" w:after="60" w:line="360" w:lineRule="auto"/>
              <w:rPr>
                <w:rFonts w:cs="David" w:hint="cs"/>
                <w:rtl/>
              </w:rPr>
            </w:pPr>
            <w:r w:rsidRPr="00A56260">
              <w:rPr>
                <w:rFonts w:cs="David" w:hint="cs"/>
                <w:rtl/>
              </w:rPr>
              <w:t>החלפת מודל שיוך</w:t>
            </w:r>
          </w:p>
        </w:tc>
        <w:tc>
          <w:tcPr>
            <w:tcW w:w="2841" w:type="dxa"/>
          </w:tcPr>
          <w:p w14:paraId="37180238" w14:textId="77777777" w:rsidR="0014301B" w:rsidRPr="00A56260" w:rsidRDefault="0014301B" w:rsidP="00184AA2">
            <w:pPr>
              <w:spacing w:before="60" w:after="60" w:line="360" w:lineRule="auto"/>
              <w:jc w:val="center"/>
              <w:rPr>
                <w:rFonts w:cs="David"/>
                <w:rtl/>
              </w:rPr>
            </w:pPr>
            <w:r w:rsidRPr="00A56260">
              <w:rPr>
                <w:rFonts w:cs="David" w:hint="cs"/>
                <w:rtl/>
              </w:rPr>
              <w:t>אפשרית</w:t>
            </w:r>
          </w:p>
        </w:tc>
        <w:tc>
          <w:tcPr>
            <w:tcW w:w="2841" w:type="dxa"/>
          </w:tcPr>
          <w:p w14:paraId="2F1A011A" w14:textId="77777777" w:rsidR="0014301B" w:rsidRPr="00A56260" w:rsidRDefault="0014301B" w:rsidP="00184AA2">
            <w:pPr>
              <w:spacing w:before="60" w:after="60" w:line="360" w:lineRule="auto"/>
              <w:jc w:val="center"/>
              <w:rPr>
                <w:rFonts w:cs="David"/>
                <w:rtl/>
              </w:rPr>
            </w:pPr>
            <w:r w:rsidRPr="00A56260">
              <w:rPr>
                <w:rFonts w:cs="David" w:hint="cs"/>
                <w:rtl/>
              </w:rPr>
              <w:t>בלתי אפשרית</w:t>
            </w:r>
          </w:p>
        </w:tc>
      </w:tr>
      <w:tr w:rsidR="0014301B" w:rsidRPr="00A56260" w14:paraId="51245662" w14:textId="77777777" w:rsidTr="00184AA2">
        <w:tc>
          <w:tcPr>
            <w:tcW w:w="2840" w:type="dxa"/>
          </w:tcPr>
          <w:p w14:paraId="563F55C4" w14:textId="77777777" w:rsidR="0014301B" w:rsidRPr="00A56260" w:rsidRDefault="0014301B" w:rsidP="00184AA2">
            <w:pPr>
              <w:spacing w:before="60" w:after="60" w:line="360" w:lineRule="auto"/>
              <w:rPr>
                <w:rFonts w:cs="David" w:hint="cs"/>
                <w:rtl/>
              </w:rPr>
            </w:pPr>
            <w:r w:rsidRPr="00A56260">
              <w:rPr>
                <w:rFonts w:cs="David" w:hint="cs"/>
                <w:rtl/>
              </w:rPr>
              <w:t>זכויות חבר חדש</w:t>
            </w:r>
          </w:p>
        </w:tc>
        <w:tc>
          <w:tcPr>
            <w:tcW w:w="2841" w:type="dxa"/>
          </w:tcPr>
          <w:p w14:paraId="56CA14A5" w14:textId="77777777" w:rsidR="0014301B" w:rsidRPr="00A56260" w:rsidRDefault="0014301B" w:rsidP="00184AA2">
            <w:pPr>
              <w:spacing w:before="60" w:after="60" w:line="360" w:lineRule="auto"/>
              <w:jc w:val="center"/>
              <w:rPr>
                <w:rFonts w:cs="David" w:hint="cs"/>
                <w:rtl/>
              </w:rPr>
            </w:pPr>
            <w:r w:rsidRPr="00A56260">
              <w:rPr>
                <w:rFonts w:cs="David" w:hint="cs"/>
                <w:rtl/>
              </w:rPr>
              <w:t>בדרך כלל לחלק מן הרווחים השוטפים (שגדל לאחר סיום תשלום הסכום המוגדר)</w:t>
            </w:r>
          </w:p>
        </w:tc>
        <w:tc>
          <w:tcPr>
            <w:tcW w:w="2841" w:type="dxa"/>
          </w:tcPr>
          <w:p w14:paraId="2186F2FB" w14:textId="77777777" w:rsidR="0014301B" w:rsidRPr="00A56260" w:rsidRDefault="0014301B" w:rsidP="00184AA2">
            <w:pPr>
              <w:spacing w:before="60" w:after="60" w:line="360" w:lineRule="auto"/>
              <w:jc w:val="center"/>
              <w:rPr>
                <w:rFonts w:cs="David" w:hint="cs"/>
                <w:rtl/>
              </w:rPr>
            </w:pPr>
            <w:r w:rsidRPr="00A56260">
              <w:rPr>
                <w:rFonts w:cs="David" w:hint="cs"/>
                <w:rtl/>
              </w:rPr>
              <w:t>אין זכויות מוקנות, לפעמים נדרש לרכוש זכויות כתנאי לקליטה</w:t>
            </w:r>
          </w:p>
        </w:tc>
      </w:tr>
    </w:tbl>
    <w:p w14:paraId="7A12C736" w14:textId="77777777" w:rsidR="0014301B" w:rsidRDefault="0014301B" w:rsidP="0063002E">
      <w:pPr>
        <w:spacing w:after="120" w:line="312" w:lineRule="auto"/>
        <w:jc w:val="center"/>
        <w:rPr>
          <w:rFonts w:cs="David" w:hint="cs"/>
          <w:b/>
          <w:bCs/>
          <w:u w:val="single"/>
          <w:rtl/>
        </w:rPr>
      </w:pPr>
    </w:p>
    <w:p w14:paraId="3D716C1C" w14:textId="77777777" w:rsidR="0014301B" w:rsidRDefault="0014301B" w:rsidP="0063002E">
      <w:pPr>
        <w:spacing w:after="120" w:line="312" w:lineRule="auto"/>
        <w:jc w:val="center"/>
        <w:rPr>
          <w:rFonts w:cs="David" w:hint="cs"/>
          <w:b/>
          <w:bCs/>
          <w:u w:val="single"/>
          <w:rtl/>
        </w:rPr>
      </w:pPr>
    </w:p>
    <w:p w14:paraId="434D5400" w14:textId="77777777" w:rsidR="0014301B" w:rsidRDefault="0014301B" w:rsidP="0063002E">
      <w:pPr>
        <w:spacing w:after="120" w:line="312" w:lineRule="auto"/>
        <w:jc w:val="center"/>
        <w:rPr>
          <w:rFonts w:cs="David" w:hint="cs"/>
          <w:b/>
          <w:bCs/>
          <w:u w:val="single"/>
          <w:rtl/>
        </w:rPr>
      </w:pPr>
    </w:p>
    <w:p w14:paraId="089C5813" w14:textId="77777777" w:rsidR="0063002E" w:rsidRDefault="0063002E" w:rsidP="0063002E">
      <w:pPr>
        <w:spacing w:after="120" w:line="312" w:lineRule="auto"/>
        <w:jc w:val="center"/>
        <w:rPr>
          <w:rFonts w:cs="David"/>
          <w:b/>
          <w:bCs/>
          <w:u w:val="single"/>
          <w:rtl/>
        </w:rPr>
      </w:pPr>
      <w:r>
        <w:rPr>
          <w:rFonts w:cs="David"/>
          <w:b/>
          <w:bCs/>
          <w:u w:val="single"/>
          <w:rtl/>
        </w:rPr>
        <w:t>שיוך זכויות בנכסים יצרניים בקיבוץ  - סקירה כללית</w:t>
      </w:r>
    </w:p>
    <w:p w14:paraId="70EB7CBC" w14:textId="77777777" w:rsidR="0063002E" w:rsidRDefault="0063002E" w:rsidP="0063002E">
      <w:pPr>
        <w:spacing w:after="120" w:line="312" w:lineRule="auto"/>
        <w:jc w:val="both"/>
        <w:rPr>
          <w:rFonts w:cs="David"/>
        </w:rPr>
      </w:pPr>
      <w:r>
        <w:rPr>
          <w:rFonts w:cs="David"/>
          <w:rtl/>
        </w:rPr>
        <w:lastRenderedPageBreak/>
        <w:t xml:space="preserve">בשנים האחרונות, בין היתר עקב מהלכי השינוי העוברים על קיבוצים (ובפרט שינוי באורחות החיים וצמיחה דמוגראפית), עולה שאלת זכויות החברים בנכסים היצרניים של הקיבוץ. </w:t>
      </w:r>
    </w:p>
    <w:p w14:paraId="151D1C1B" w14:textId="77777777" w:rsidR="0063002E" w:rsidRDefault="0063002E" w:rsidP="0063002E">
      <w:pPr>
        <w:spacing w:after="120" w:line="312" w:lineRule="auto"/>
        <w:jc w:val="both"/>
        <w:rPr>
          <w:rFonts w:cs="David"/>
        </w:rPr>
      </w:pPr>
      <w:r>
        <w:rPr>
          <w:rFonts w:cs="David"/>
          <w:rtl/>
        </w:rPr>
        <w:t xml:space="preserve">לחברים בקיבוץ אשר לא יישם מהלך של שיוך זכויות בנכסים היצרניים אמנם יש זיקה לנכסים היצרניים של הקיבוץ (בהיותם חברים בו) ואולם זיקה זו מוגבלת במספר מובנים ובפרט חסרות בה זכות הורשה וזכות מוקנית להנות באופן ישיר (קרי ב"תקציב האישי" או באמצעות מנגנון ישיר אחר) מהרווחים אשר מפיקים הנכסים היצרניים של הקיבוץ. </w:t>
      </w:r>
    </w:p>
    <w:p w14:paraId="18CBE930" w14:textId="77777777" w:rsidR="0063002E" w:rsidRDefault="0063002E" w:rsidP="0063002E">
      <w:pPr>
        <w:spacing w:after="120" w:line="312" w:lineRule="auto"/>
        <w:jc w:val="both"/>
        <w:rPr>
          <w:rFonts w:cs="David"/>
        </w:rPr>
      </w:pPr>
      <w:r>
        <w:rPr>
          <w:rFonts w:cs="David"/>
          <w:rtl/>
        </w:rPr>
        <w:t xml:space="preserve">על מנת לחזק את הזיקה בין נכסיו היצרניים של הקיבוץ לבין חברי קיבוץ החלו קיבוצים רבים ביישום מהלך של שיוך זכויות בנכסים היצרניים. בשנת 2005 אף הותקנו "תקנות האגודות השיתופיות (שיוך אמצעי ייצור בקיבוץ המתחדש) </w:t>
      </w:r>
      <w:proofErr w:type="spellStart"/>
      <w:r>
        <w:rPr>
          <w:rFonts w:cs="David"/>
          <w:rtl/>
        </w:rPr>
        <w:t>התשס"ו</w:t>
      </w:r>
      <w:proofErr w:type="spellEnd"/>
      <w:r>
        <w:rPr>
          <w:rFonts w:cs="David"/>
          <w:rtl/>
        </w:rPr>
        <w:t xml:space="preserve"> – 2005" שמטרתן הסדרת הליך השיוך האמור (להלן "התקנות").</w:t>
      </w:r>
    </w:p>
    <w:p w14:paraId="61BDA4D0" w14:textId="77777777" w:rsidR="0063002E" w:rsidRDefault="0063002E" w:rsidP="0063002E">
      <w:pPr>
        <w:spacing w:after="120" w:line="312" w:lineRule="auto"/>
        <w:jc w:val="both"/>
        <w:rPr>
          <w:rFonts w:cs="David"/>
        </w:rPr>
      </w:pPr>
      <w:r>
        <w:rPr>
          <w:rFonts w:cs="David"/>
          <w:rtl/>
        </w:rPr>
        <w:t>מטרותיו העיקריות של המהלך הינן יצירת זכות הורשה בקשר עם הנכסים היצרניים של הקיבוץ ו/או פירותיהם, יצירת איזון ביחס לשינוי באורחות החיים (באמצעות מתן ביטוי לוותק), יצירת זכות מוקנית לחבר להנות באופן ישיר מפירות הנכסים וכן עידוד הליך של צמיחה דמוגראפית.</w:t>
      </w:r>
    </w:p>
    <w:p w14:paraId="43689940" w14:textId="77777777" w:rsidR="0063002E" w:rsidRDefault="0063002E" w:rsidP="0063002E">
      <w:pPr>
        <w:spacing w:after="120" w:line="312" w:lineRule="auto"/>
        <w:jc w:val="both"/>
        <w:rPr>
          <w:rFonts w:cs="David"/>
        </w:rPr>
      </w:pPr>
      <w:r>
        <w:rPr>
          <w:rFonts w:cs="David"/>
          <w:rtl/>
        </w:rPr>
        <w:t>במהלך השנים התגבשו שני מתווי שיוך עיקריים: "שיוך פירות נכסים" ו"שיוך נכסים קנייני":</w:t>
      </w:r>
    </w:p>
    <w:p w14:paraId="1ECC165A" w14:textId="77777777" w:rsidR="0063002E" w:rsidRDefault="0063002E" w:rsidP="0063002E">
      <w:pPr>
        <w:numPr>
          <w:ilvl w:val="0"/>
          <w:numId w:val="2"/>
        </w:numPr>
        <w:spacing w:after="120" w:line="312" w:lineRule="auto"/>
        <w:jc w:val="both"/>
        <w:rPr>
          <w:rFonts w:cs="David"/>
        </w:rPr>
      </w:pPr>
      <w:r>
        <w:rPr>
          <w:rFonts w:cs="David"/>
          <w:rtl/>
        </w:rPr>
        <w:t>"שיוך פירות נכסים": מהותו הסדר היוצר ומעגן זכויות של חברי הקיבוץ ויורשיהם ברווחים המופקים על ידי נכסיו היצרניים של הקיבוץ. ההסדר נקבע במסגרת החלטת אסיפה. למעשה הסדרים מסוג זה הינם התפתחות של הסדרי חלוקת רווחים שכבר נמצאו בעבר בקיבוצים מסוימים, ואולם השינוי המהותי העיקרי ביחס לאותם הסדרים הינו יצירת זכות הורשה בקשר עם הרווחים. ישנם הסדרי שיוך פירות נכסים שונים ואולם המתווה השכיח הינו מתווה בו מוגדר סכום כולל לחלוקה לחברי הקיבוץ ביום קובע מסוים ויורשיהם אשר מחולק מתוך רווחים כאשר במקביל (או לאחר תקופה) מתחילה חלוקה נוספת למי שהינם חברי הקיבוץ בעת החלוקה (כולל נקלטים, ללא יורשים ועוזבים).  שיוך פירות הנכסים אינו מערב תאגידים נוספים ואינו משנה את מבנה הבעלות בנכסים היצרניים של הקיבוץ (אשר נשאר בעלים יחיד).</w:t>
      </w:r>
    </w:p>
    <w:p w14:paraId="168235F7" w14:textId="77777777" w:rsidR="0063002E" w:rsidRDefault="0063002E" w:rsidP="00F548A9">
      <w:pPr>
        <w:numPr>
          <w:ilvl w:val="0"/>
          <w:numId w:val="2"/>
        </w:numPr>
        <w:spacing w:after="120" w:line="312" w:lineRule="auto"/>
        <w:jc w:val="both"/>
        <w:rPr>
          <w:rFonts w:cs="David"/>
        </w:rPr>
      </w:pPr>
      <w:r>
        <w:rPr>
          <w:rFonts w:cs="David"/>
          <w:rtl/>
        </w:rPr>
        <w:t>"שיוך נכסים קנייני": מהותו הקמת תאגיד חדש (להלן "תאגיד החברים") אשר אליו מועבר חלק זה או אחר מהזכויות בנכסים היצרניים של הקיבוץ ואשר בו מתבצע "שיוך" הזכויות לחברים (הקצאת "יחידות השתתפות" או "מניות"). מתווה זה יוצר בין היתר אבחנה בין הזכויות בקיבוץ עצמו (אשר נותר עם חלק בלבד של הזכויות בנכסים היצרניים) לבין הזכויות בנכסים היצרניים לגביהם מתבצע השיוך. במתווה השכיח, הזכויות ניתנות להורשה מדור</w:t>
      </w:r>
      <w:r w:rsidR="00F548A9">
        <w:rPr>
          <w:rFonts w:cs="David" w:hint="cs"/>
          <w:rtl/>
        </w:rPr>
        <w:t xml:space="preserve">  </w:t>
      </w:r>
      <w:r>
        <w:rPr>
          <w:rFonts w:cs="David"/>
          <w:rtl/>
        </w:rPr>
        <w:t xml:space="preserve"> ודור וכן </w:t>
      </w:r>
      <w:proofErr w:type="spellStart"/>
      <w:r>
        <w:rPr>
          <w:rFonts w:cs="David"/>
          <w:rtl/>
        </w:rPr>
        <w:t>לסיחור</w:t>
      </w:r>
      <w:proofErr w:type="spellEnd"/>
      <w:r>
        <w:rPr>
          <w:rFonts w:cs="David"/>
          <w:rtl/>
        </w:rPr>
        <w:t xml:space="preserve"> גם למי שאינו חבר הקיבוץ (קרי, בעלי הזכויות בנכסים אינם רק חברי </w:t>
      </w:r>
      <w:r w:rsidR="00F548A9">
        <w:rPr>
          <w:rFonts w:cs="David" w:hint="cs"/>
          <w:rtl/>
        </w:rPr>
        <w:t xml:space="preserve"> </w:t>
      </w:r>
      <w:r>
        <w:rPr>
          <w:rFonts w:cs="David"/>
          <w:rtl/>
        </w:rPr>
        <w:t xml:space="preserve">הקיבוץ). </w:t>
      </w:r>
    </w:p>
    <w:p w14:paraId="1C5D1235" w14:textId="77777777" w:rsidR="0063002E" w:rsidRDefault="0063002E" w:rsidP="002F1350">
      <w:pPr>
        <w:spacing w:after="120" w:line="312" w:lineRule="auto"/>
        <w:jc w:val="both"/>
        <w:rPr>
          <w:rFonts w:cs="David" w:hint="cs"/>
          <w:rtl/>
        </w:rPr>
      </w:pPr>
      <w:r>
        <w:rPr>
          <w:rFonts w:cs="David"/>
          <w:rtl/>
        </w:rPr>
        <w:t>בכל אחד מהתהליכים שתוארו לעיל נדרש כי יקבעו "יום קובע" אשר יגדיר את מעגל הזכאים, "מפתח השיוך" לפיו יוקנו הזכויות (וותק, חלוקה שוויונית, שילוב ביניהם וכיו"ב), מדרג השימוש ברווחים (מנגנון אשר נועד להבטיח מחד כי לקיבוץ ימשיכו לעמוד מקורות לצרכים שיש להבטיחם כגון ערבות הדדית, פנסיה, השקעות וכיו"ב ומאידך כי יוותרו רווחים לחלוקה לחברים ויורשיהם), הוראות בקשר עם חברים חדשים (אשר התקבלו לחברות לאחר היום הקובע), הוראות בקשר לזכויות יורשים והיחס בין השיוך לבין זכות לדמי עזיבה (יצוין כי התקנות קובעות כי השיוך יהיה על חשבון דמי עזיבה).</w:t>
      </w:r>
    </w:p>
    <w:p w14:paraId="39904E0D" w14:textId="77777777" w:rsidR="0063002E" w:rsidRDefault="0063002E" w:rsidP="0063002E">
      <w:pPr>
        <w:spacing w:after="120" w:line="312" w:lineRule="auto"/>
        <w:jc w:val="both"/>
        <w:rPr>
          <w:rFonts w:cs="David"/>
          <w:rtl/>
        </w:rPr>
      </w:pPr>
      <w:r>
        <w:rPr>
          <w:rFonts w:cs="David"/>
          <w:rtl/>
        </w:rPr>
        <w:t xml:space="preserve">מעבר לכך, בהסדר של שיוך נכסים קנייני יש לקבל החלטות בנושאים נוספים כגון הגדרת הנכסים אשר יכללו בשיוך, זכויות </w:t>
      </w:r>
      <w:proofErr w:type="spellStart"/>
      <w:r>
        <w:rPr>
          <w:rFonts w:cs="David"/>
          <w:rtl/>
        </w:rPr>
        <w:t>לסחרות</w:t>
      </w:r>
      <w:proofErr w:type="spellEnd"/>
      <w:r>
        <w:rPr>
          <w:rFonts w:cs="David"/>
          <w:rtl/>
        </w:rPr>
        <w:t xml:space="preserve">/הורשה/פדיון בתאגיד החברים, זכויות הצבעה בתאגיד החברים, מנגנוני הבטחת שליטה של הקיבוץ בנכסים היצרניים (שכן חלק מן הבעלות עובר לחברים, יורשיהם ואחרים), אופן ניהול תאגיד החברים וכיו"ב.  </w:t>
      </w:r>
    </w:p>
    <w:p w14:paraId="700F178B" w14:textId="77777777" w:rsidR="0014301B" w:rsidRDefault="0063002E" w:rsidP="0014301B">
      <w:pPr>
        <w:spacing w:after="120" w:line="312" w:lineRule="auto"/>
        <w:jc w:val="both"/>
        <w:rPr>
          <w:rFonts w:cs="David" w:hint="cs"/>
          <w:b/>
          <w:bCs/>
          <w:rtl/>
        </w:rPr>
      </w:pPr>
      <w:r>
        <w:rPr>
          <w:rFonts w:cs="David"/>
          <w:rtl/>
        </w:rPr>
        <w:t>בשיוך פירות נכסים נדרש בנוסף לקבל החלטות בין היתר באשר לגובה הסכום המוגדר, קיומה ומהותה של חלוקה נוספת והיחס ביניהם.</w:t>
      </w:r>
    </w:p>
    <w:p w14:paraId="0E073300" w14:textId="77777777" w:rsidR="0063002E" w:rsidRDefault="0063002E" w:rsidP="0014301B">
      <w:pPr>
        <w:spacing w:after="120" w:line="312" w:lineRule="auto"/>
        <w:jc w:val="both"/>
        <w:rPr>
          <w:rFonts w:cs="David"/>
          <w:b/>
          <w:bCs/>
          <w:rtl/>
        </w:rPr>
      </w:pPr>
      <w:r w:rsidRPr="005A5D0A">
        <w:rPr>
          <w:rFonts w:cs="David"/>
          <w:b/>
          <w:bCs/>
          <w:rtl/>
        </w:rPr>
        <w:t>בצד הבדלים תהליכיים/מבניים/משפטיים</w:t>
      </w:r>
      <w:r>
        <w:rPr>
          <w:rFonts w:cs="David"/>
          <w:b/>
          <w:bCs/>
          <w:rtl/>
        </w:rPr>
        <w:t>/חשבונאיים/ניהוליים</w:t>
      </w:r>
      <w:r w:rsidRPr="005A5D0A">
        <w:rPr>
          <w:rFonts w:cs="David"/>
          <w:b/>
          <w:bCs/>
          <w:rtl/>
        </w:rPr>
        <w:t xml:space="preserve"> ואחרים בין המודלים הבסיסיים שלעיל (שגם עליהם יש לתת את הדעת</w:t>
      </w:r>
      <w:r>
        <w:rPr>
          <w:rFonts w:cs="David"/>
          <w:b/>
          <w:bCs/>
          <w:rtl/>
        </w:rPr>
        <w:t xml:space="preserve"> – ר' פירוט מטה</w:t>
      </w:r>
      <w:r w:rsidRPr="005A5D0A">
        <w:rPr>
          <w:rFonts w:cs="David"/>
          <w:b/>
          <w:bCs/>
          <w:rtl/>
        </w:rPr>
        <w:t xml:space="preserve">) – ההבדל </w:t>
      </w:r>
      <w:r w:rsidRPr="005A5D0A">
        <w:rPr>
          <w:rFonts w:cs="David"/>
          <w:b/>
          <w:bCs/>
          <w:u w:val="single"/>
          <w:rtl/>
        </w:rPr>
        <w:t>העקרוני</w:t>
      </w:r>
      <w:r w:rsidRPr="005A5D0A">
        <w:rPr>
          <w:rFonts w:cs="David"/>
          <w:b/>
          <w:bCs/>
          <w:rtl/>
        </w:rPr>
        <w:t xml:space="preserve"> ביניהם הוא שזכות החבר</w:t>
      </w:r>
      <w:r>
        <w:rPr>
          <w:rFonts w:cs="David"/>
          <w:b/>
          <w:bCs/>
          <w:rtl/>
        </w:rPr>
        <w:t xml:space="preserve"> ביום הקובע</w:t>
      </w:r>
      <w:r w:rsidRPr="005A5D0A">
        <w:rPr>
          <w:rFonts w:cs="David"/>
          <w:b/>
          <w:bCs/>
          <w:rtl/>
        </w:rPr>
        <w:t xml:space="preserve"> ויורשיו במודל ה</w:t>
      </w:r>
      <w:r>
        <w:rPr>
          <w:rFonts w:cs="David"/>
          <w:b/>
          <w:bCs/>
          <w:rtl/>
        </w:rPr>
        <w:t>פירותי</w:t>
      </w:r>
      <w:r w:rsidRPr="005A5D0A">
        <w:rPr>
          <w:rFonts w:cs="David"/>
          <w:b/>
          <w:bCs/>
          <w:rtl/>
        </w:rPr>
        <w:t xml:space="preserve"> היא "מתכלה" (זכות החבר הקיים ויורשיו לסכום </w:t>
      </w:r>
      <w:r>
        <w:rPr>
          <w:rFonts w:cs="David"/>
          <w:b/>
          <w:bCs/>
          <w:rtl/>
        </w:rPr>
        <w:t>המוגדר</w:t>
      </w:r>
      <w:r w:rsidRPr="005A5D0A">
        <w:rPr>
          <w:rFonts w:cs="David"/>
          <w:b/>
          <w:bCs/>
          <w:rtl/>
        </w:rPr>
        <w:t xml:space="preserve"> מסתיימת עם סיום תשלום הסכום האמור והזכות הנוספת קיימת רק כל עוד החבר הוא חבר ה</w:t>
      </w:r>
      <w:r>
        <w:rPr>
          <w:rFonts w:cs="David"/>
          <w:b/>
          <w:bCs/>
          <w:rtl/>
        </w:rPr>
        <w:t>קיבוץ</w:t>
      </w:r>
      <w:r w:rsidRPr="005A5D0A">
        <w:rPr>
          <w:rFonts w:cs="David"/>
          <w:b/>
          <w:bCs/>
          <w:rtl/>
        </w:rPr>
        <w:t>)</w:t>
      </w:r>
      <w:r>
        <w:rPr>
          <w:rFonts w:cs="David"/>
          <w:b/>
          <w:bCs/>
          <w:rtl/>
        </w:rPr>
        <w:t xml:space="preserve"> ואילו הזכות בשיוך הקנייני השכיח היא "נצחית" (ניתנת להורשה מדור לדור). הבדל זה משפיע גם על משקל זכויות הנקלטים (במודל הפירותי המשקל משמעותי יותר). לכן ההכרעה בין שני מודלים אלה צריכה להתחיל מקביעת העמדה העקרונית בקשר לשאלת המשכיות/התכלות הזכות.</w:t>
      </w:r>
    </w:p>
    <w:p w14:paraId="453C3215" w14:textId="77777777" w:rsidR="0063002E" w:rsidRPr="004F6D1C" w:rsidRDefault="0063002E" w:rsidP="0063002E">
      <w:pPr>
        <w:spacing w:after="120" w:line="312" w:lineRule="auto"/>
        <w:jc w:val="both"/>
        <w:rPr>
          <w:rFonts w:cs="David"/>
          <w:rtl/>
        </w:rPr>
      </w:pPr>
      <w:r w:rsidRPr="004F6D1C">
        <w:rPr>
          <w:rFonts w:cs="David"/>
          <w:rtl/>
        </w:rPr>
        <w:t>בנוסף ניתן להזכיר את ההבדלים הבאים (רשימה לא סגורה):</w:t>
      </w:r>
    </w:p>
    <w:p w14:paraId="315A3A7A" w14:textId="77777777" w:rsidR="0063002E" w:rsidRPr="004F6D1C" w:rsidRDefault="0063002E" w:rsidP="0063002E">
      <w:pPr>
        <w:numPr>
          <w:ilvl w:val="0"/>
          <w:numId w:val="3"/>
        </w:numPr>
        <w:spacing w:after="120" w:line="312" w:lineRule="auto"/>
        <w:jc w:val="both"/>
        <w:rPr>
          <w:rFonts w:cs="David"/>
        </w:rPr>
      </w:pPr>
      <w:r w:rsidRPr="004F6D1C">
        <w:rPr>
          <w:rFonts w:cs="David"/>
          <w:rtl/>
        </w:rPr>
        <w:lastRenderedPageBreak/>
        <w:t>פשטות – המודל הפירותי  פשוט יו</w:t>
      </w:r>
      <w:r>
        <w:rPr>
          <w:rFonts w:cs="David"/>
          <w:rtl/>
        </w:rPr>
        <w:t>תר</w:t>
      </w:r>
      <w:r w:rsidRPr="004F6D1C">
        <w:rPr>
          <w:rFonts w:cs="David"/>
          <w:rtl/>
        </w:rPr>
        <w:t xml:space="preserve"> לגיבוש ויישום;</w:t>
      </w:r>
    </w:p>
    <w:p w14:paraId="6D8234E8" w14:textId="77777777" w:rsidR="0063002E" w:rsidRPr="004F6D1C" w:rsidRDefault="0063002E" w:rsidP="0063002E">
      <w:pPr>
        <w:numPr>
          <w:ilvl w:val="0"/>
          <w:numId w:val="3"/>
        </w:numPr>
        <w:spacing w:after="120" w:line="312" w:lineRule="auto"/>
        <w:jc w:val="both"/>
        <w:rPr>
          <w:rFonts w:cs="David"/>
        </w:rPr>
      </w:pPr>
      <w:r w:rsidRPr="004F6D1C">
        <w:rPr>
          <w:rFonts w:cs="David"/>
          <w:rtl/>
        </w:rPr>
        <w:t>בעלות ושליטת הקיבוץ בנכסים – במודל הפירותי נשמרת בעלות מלאה של הקיבוץ בנכסים; במודל הקנייני נחלקת הבעלות בין הקיבוץ, חבריו ומי שאינם חברי הקיבוץ. הדבר אפשרי ואולם מחייב יצירת מנגנוני שליטה לקיבוץ</w:t>
      </w:r>
      <w:r>
        <w:rPr>
          <w:rFonts w:cs="David"/>
          <w:rtl/>
        </w:rPr>
        <w:t>;</w:t>
      </w:r>
    </w:p>
    <w:p w14:paraId="37349946" w14:textId="77777777" w:rsidR="0063002E" w:rsidRPr="004F6D1C" w:rsidRDefault="0063002E" w:rsidP="0063002E">
      <w:pPr>
        <w:numPr>
          <w:ilvl w:val="0"/>
          <w:numId w:val="3"/>
        </w:numPr>
        <w:spacing w:after="120" w:line="312" w:lineRule="auto"/>
        <w:jc w:val="both"/>
        <w:rPr>
          <w:rFonts w:cs="David"/>
        </w:rPr>
      </w:pPr>
      <w:r w:rsidRPr="004F6D1C">
        <w:rPr>
          <w:rFonts w:cs="David"/>
          <w:rtl/>
        </w:rPr>
        <w:t>המודל הפירותי אינו יוצר זכויות קנייניות – הוא קם ומעוגן בהחלטת אסיפה (הכוללת מנגנוני שריון והגנה על זכויות החברים הוותיקים ויורשיהם</w:t>
      </w:r>
      <w:r>
        <w:rPr>
          <w:rFonts w:cs="David"/>
          <w:rtl/>
        </w:rPr>
        <w:t>);</w:t>
      </w:r>
    </w:p>
    <w:p w14:paraId="77E8E8F8" w14:textId="77777777" w:rsidR="0063002E" w:rsidRDefault="0063002E" w:rsidP="0063002E">
      <w:pPr>
        <w:numPr>
          <w:ilvl w:val="0"/>
          <w:numId w:val="3"/>
        </w:numPr>
        <w:spacing w:after="120" w:line="312" w:lineRule="auto"/>
        <w:jc w:val="both"/>
        <w:rPr>
          <w:rFonts w:cs="David"/>
        </w:rPr>
      </w:pPr>
      <w:r>
        <w:rPr>
          <w:rFonts w:cs="David"/>
          <w:rtl/>
        </w:rPr>
        <w:t>המודל הקנייני מחייב קבלת אישור לפטור ממס (אם טרם התקבל) – תחולת תקנה 4 עד סוף שנת 2012;</w:t>
      </w:r>
    </w:p>
    <w:p w14:paraId="3D3E6A6E" w14:textId="77777777" w:rsidR="0063002E" w:rsidRDefault="0063002E" w:rsidP="0063002E">
      <w:pPr>
        <w:numPr>
          <w:ilvl w:val="0"/>
          <w:numId w:val="3"/>
        </w:numPr>
        <w:spacing w:after="120" w:line="312" w:lineRule="auto"/>
        <w:jc w:val="both"/>
        <w:rPr>
          <w:rFonts w:cs="David"/>
        </w:rPr>
      </w:pPr>
      <w:r>
        <w:rPr>
          <w:rFonts w:cs="David"/>
          <w:rtl/>
        </w:rPr>
        <w:t>מהמודל הפירותי אפשר לעבור בעתיד למודל קנייני (בכפוף לפתרון לסוגיית המס); מודל קנייני הוא בלתי הפיך.</w:t>
      </w:r>
    </w:p>
    <w:p w14:paraId="1E85CD03" w14:textId="77777777" w:rsidR="00F548A9" w:rsidRPr="00D353CA" w:rsidRDefault="00F548A9" w:rsidP="00F548A9">
      <w:pPr>
        <w:jc w:val="center"/>
        <w:rPr>
          <w:rFonts w:ascii="Arial" w:hAnsi="Arial"/>
          <w:b/>
          <w:bCs/>
          <w:sz w:val="28"/>
          <w:szCs w:val="28"/>
          <w:u w:val="single"/>
          <w:rtl/>
        </w:rPr>
      </w:pPr>
      <w:r w:rsidRPr="00D353CA">
        <w:rPr>
          <w:rFonts w:ascii="Arial" w:hAnsi="Arial" w:hint="cs"/>
          <w:b/>
          <w:bCs/>
          <w:sz w:val="28"/>
          <w:szCs w:val="28"/>
          <w:u w:val="single"/>
          <w:rtl/>
        </w:rPr>
        <w:t xml:space="preserve">צוות זיקה לנכסים </w:t>
      </w:r>
      <w:r w:rsidRPr="00D353CA">
        <w:rPr>
          <w:rFonts w:ascii="Arial" w:hAnsi="Arial"/>
          <w:b/>
          <w:bCs/>
          <w:sz w:val="28"/>
          <w:szCs w:val="28"/>
          <w:u w:val="single"/>
          <w:rtl/>
        </w:rPr>
        <w:t>–</w:t>
      </w:r>
      <w:r w:rsidRPr="00D353CA">
        <w:rPr>
          <w:rFonts w:ascii="Arial" w:hAnsi="Arial" w:hint="cs"/>
          <w:b/>
          <w:bCs/>
          <w:sz w:val="28"/>
          <w:szCs w:val="28"/>
          <w:u w:val="single"/>
          <w:rtl/>
        </w:rPr>
        <w:t xml:space="preserve"> נקודות למחשבה לקראת הדיון ציבורי</w:t>
      </w:r>
    </w:p>
    <w:p w14:paraId="0E16B7C5" w14:textId="77777777" w:rsidR="00F548A9" w:rsidRDefault="00F548A9" w:rsidP="00F548A9">
      <w:pPr>
        <w:rPr>
          <w:rFonts w:ascii="Arial" w:hAnsi="Arial" w:hint="cs"/>
          <w:rtl/>
        </w:rPr>
      </w:pPr>
      <w:r>
        <w:rPr>
          <w:rFonts w:ascii="Arial" w:hAnsi="Arial" w:hint="cs"/>
          <w:rtl/>
        </w:rPr>
        <w:t>הדיון שהתפתח בצוות זיקה לנכסים חשף את העובדה כי לסוגיה רבדים רבים, והכרעה שהיא לכאורה כלכלית, מושפעת מאד מרבדים אישיים/פסיכולוגיים, חברתיים, רגשיים, וערכיים. להלן עיקרי ההיבטים שהועלו בדיון:</w:t>
      </w:r>
    </w:p>
    <w:p w14:paraId="1894C594" w14:textId="77777777" w:rsidR="00F548A9" w:rsidRDefault="00F548A9" w:rsidP="00F548A9">
      <w:pPr>
        <w:numPr>
          <w:ilvl w:val="0"/>
          <w:numId w:val="4"/>
        </w:numPr>
        <w:spacing w:line="360" w:lineRule="auto"/>
        <w:ind w:left="374" w:hanging="284"/>
        <w:jc w:val="both"/>
        <w:rPr>
          <w:rFonts w:ascii="Arial" w:hAnsi="Arial" w:hint="cs"/>
        </w:rPr>
      </w:pPr>
      <w:r w:rsidRPr="00E4267C">
        <w:rPr>
          <w:rFonts w:ascii="Arial" w:hAnsi="Arial" w:hint="cs"/>
          <w:b/>
          <w:bCs/>
          <w:rtl/>
        </w:rPr>
        <w:t>טובת הקיבוץ</w:t>
      </w:r>
      <w:r>
        <w:rPr>
          <w:rFonts w:ascii="Arial" w:hAnsi="Arial" w:hint="cs"/>
          <w:rtl/>
        </w:rPr>
        <w:t xml:space="preserve"> </w:t>
      </w:r>
      <w:r>
        <w:rPr>
          <w:rFonts w:ascii="Arial" w:hAnsi="Arial"/>
          <w:rtl/>
        </w:rPr>
        <w:t>–</w:t>
      </w:r>
      <w:r>
        <w:rPr>
          <w:rFonts w:ascii="Arial" w:hAnsi="Arial" w:hint="cs"/>
          <w:rtl/>
        </w:rPr>
        <w:t xml:space="preserve"> האם יש לקיבוץ זהות ואינטרסים, הנפרדים מאלה של חבריו, כך שניתן לדבר על טובת הקיבוץ בנפרד מטובתם האישית של חבריו (ואולי אף בניגוד אליה)? מהי מטרת הקיבוץ בהקשר זה? האם המשכיות הקיבוץ בהקשר זה היא ערך?</w:t>
      </w:r>
    </w:p>
    <w:p w14:paraId="1E6C7D68" w14:textId="77777777" w:rsidR="00F548A9" w:rsidRPr="00E4267C" w:rsidRDefault="00F548A9" w:rsidP="00F548A9">
      <w:pPr>
        <w:numPr>
          <w:ilvl w:val="0"/>
          <w:numId w:val="4"/>
        </w:numPr>
        <w:spacing w:line="360" w:lineRule="auto"/>
        <w:ind w:left="374" w:hanging="284"/>
        <w:jc w:val="both"/>
        <w:rPr>
          <w:rFonts w:ascii="Arial" w:hAnsi="Arial" w:hint="cs"/>
        </w:rPr>
      </w:pPr>
      <w:r w:rsidRPr="00E4267C">
        <w:rPr>
          <w:rFonts w:ascii="Arial" w:hAnsi="Arial" w:hint="cs"/>
          <w:b/>
          <w:bCs/>
          <w:rtl/>
        </w:rPr>
        <w:t>הדור הבא</w:t>
      </w:r>
      <w:r>
        <w:rPr>
          <w:rFonts w:ascii="Arial" w:hAnsi="Arial" w:hint="cs"/>
          <w:rtl/>
        </w:rPr>
        <w:t xml:space="preserve"> </w:t>
      </w:r>
      <w:r>
        <w:rPr>
          <w:rFonts w:ascii="Arial" w:hAnsi="Arial"/>
          <w:rtl/>
        </w:rPr>
        <w:t>–</w:t>
      </w:r>
      <w:r>
        <w:rPr>
          <w:rFonts w:ascii="Arial" w:hAnsi="Arial" w:hint="cs"/>
          <w:rtl/>
        </w:rPr>
        <w:t xml:space="preserve"> מדובר בחידוד מסוים של הנקודה לעיל. מיהו הדור הבא הרלוונטי? האם הדור הבא של חברי קיבוץ, או הדור הבא של הבנים של החברים? בהנחה שאין זהות מוחלטת בין אלה לאלה, האינטרס של מי חשוב יותר?</w:t>
      </w:r>
    </w:p>
    <w:p w14:paraId="4313D2ED" w14:textId="77777777" w:rsidR="00F548A9" w:rsidRPr="00EA2008" w:rsidRDefault="00F548A9" w:rsidP="00F548A9">
      <w:pPr>
        <w:numPr>
          <w:ilvl w:val="0"/>
          <w:numId w:val="4"/>
        </w:numPr>
        <w:spacing w:line="360" w:lineRule="auto"/>
        <w:ind w:left="374" w:hanging="284"/>
        <w:jc w:val="both"/>
        <w:rPr>
          <w:rFonts w:ascii="Arial" w:hAnsi="Arial" w:hint="cs"/>
        </w:rPr>
      </w:pPr>
      <w:r w:rsidRPr="00EA2008">
        <w:rPr>
          <w:rFonts w:ascii="Arial" w:hAnsi="Arial" w:hint="cs"/>
          <w:b/>
          <w:bCs/>
          <w:rtl/>
        </w:rPr>
        <w:t>הדינמיות וטווחי הזמן</w:t>
      </w:r>
      <w:r>
        <w:rPr>
          <w:rFonts w:ascii="Arial" w:hAnsi="Arial" w:hint="cs"/>
          <w:rtl/>
        </w:rPr>
        <w:t xml:space="preserve"> </w:t>
      </w:r>
      <w:r>
        <w:rPr>
          <w:rFonts w:ascii="Arial" w:hAnsi="Arial"/>
          <w:rtl/>
        </w:rPr>
        <w:t>–</w:t>
      </w:r>
      <w:r>
        <w:rPr>
          <w:rFonts w:ascii="Arial" w:hAnsi="Arial" w:hint="cs"/>
          <w:rtl/>
        </w:rPr>
        <w:t xml:space="preserve"> כמה קדימה רוצים לחזות ולהשפיע? </w:t>
      </w:r>
    </w:p>
    <w:p w14:paraId="6A8FA743" w14:textId="77777777" w:rsidR="00F548A9" w:rsidRPr="003501B0" w:rsidRDefault="00F548A9" w:rsidP="00F548A9">
      <w:pPr>
        <w:numPr>
          <w:ilvl w:val="0"/>
          <w:numId w:val="4"/>
        </w:numPr>
        <w:spacing w:line="360" w:lineRule="auto"/>
        <w:ind w:left="374" w:hanging="284"/>
        <w:jc w:val="both"/>
        <w:rPr>
          <w:rFonts w:ascii="Arial" w:hAnsi="Arial" w:hint="cs"/>
        </w:rPr>
      </w:pPr>
      <w:r w:rsidRPr="003501B0">
        <w:rPr>
          <w:rFonts w:ascii="Arial" w:hAnsi="Arial" w:hint="cs"/>
          <w:b/>
          <w:bCs/>
          <w:rtl/>
        </w:rPr>
        <w:t>הקיבוץ כמפעל חיים</w:t>
      </w:r>
      <w:r>
        <w:rPr>
          <w:rFonts w:ascii="Arial" w:hAnsi="Arial" w:hint="cs"/>
          <w:rtl/>
        </w:rPr>
        <w:t xml:space="preserve"> </w:t>
      </w:r>
      <w:r>
        <w:rPr>
          <w:rFonts w:ascii="Arial" w:hAnsi="Arial"/>
          <w:rtl/>
        </w:rPr>
        <w:t>–</w:t>
      </w:r>
      <w:r>
        <w:rPr>
          <w:rFonts w:ascii="Arial" w:hAnsi="Arial" w:hint="cs"/>
          <w:rtl/>
        </w:rPr>
        <w:t xml:space="preserve"> גם כאן מדובר בחידוד של הנקודה, הפעם לא מתוך "האינטרס של הקיבוץ" בהמשכיות, אלא דווקא מתוך האינטרס של חברים הרואים בקיבוץ מפעל חיים ומעוניינים לשמר את כוחו.</w:t>
      </w:r>
    </w:p>
    <w:p w14:paraId="24109506" w14:textId="77777777" w:rsidR="00F548A9" w:rsidRDefault="00F548A9" w:rsidP="00F548A9">
      <w:pPr>
        <w:numPr>
          <w:ilvl w:val="0"/>
          <w:numId w:val="4"/>
        </w:numPr>
        <w:spacing w:line="360" w:lineRule="auto"/>
        <w:ind w:left="374" w:hanging="284"/>
        <w:jc w:val="both"/>
        <w:rPr>
          <w:rFonts w:ascii="Arial" w:hAnsi="Arial" w:hint="cs"/>
        </w:rPr>
      </w:pPr>
      <w:r w:rsidRPr="00E4267C">
        <w:rPr>
          <w:rFonts w:ascii="Arial" w:hAnsi="Arial" w:hint="cs"/>
          <w:b/>
          <w:bCs/>
          <w:rtl/>
        </w:rPr>
        <w:t>השפעות על סוגיית הקליטה</w:t>
      </w:r>
      <w:r>
        <w:rPr>
          <w:rFonts w:ascii="Arial" w:hAnsi="Arial" w:hint="cs"/>
          <w:rtl/>
        </w:rPr>
        <w:t xml:space="preserve"> </w:t>
      </w:r>
      <w:r>
        <w:rPr>
          <w:rFonts w:ascii="Arial" w:hAnsi="Arial"/>
          <w:rtl/>
        </w:rPr>
        <w:t>–</w:t>
      </w:r>
      <w:r>
        <w:rPr>
          <w:rFonts w:ascii="Arial" w:hAnsi="Arial" w:hint="cs"/>
          <w:rtl/>
        </w:rPr>
        <w:t xml:space="preserve"> הדעה הרווחת בצוות </w:t>
      </w:r>
      <w:proofErr w:type="spellStart"/>
      <w:r>
        <w:rPr>
          <w:rFonts w:ascii="Arial" w:hAnsi="Arial" w:hint="cs"/>
          <w:rtl/>
        </w:rPr>
        <w:t>היתה</w:t>
      </w:r>
      <w:proofErr w:type="spellEnd"/>
      <w:r>
        <w:rPr>
          <w:rFonts w:ascii="Arial" w:hAnsi="Arial" w:hint="cs"/>
          <w:rtl/>
        </w:rPr>
        <w:t>, שעל ההחלטות שיתקבלו לקחת בחשבון את סוגיית הקליטה, כך שיסייעו לקדם אותה. ואולם התעוררה השאלה מה יהיו בהקשר זה החלטות המעודדות קליטה? האם החלטות המקנות זכויות כספיות משמעותיות יותר לנקלטים יעודדו קליטה (במובן זה שימשכו בנים) או אולי דווקא להיפך (במובן זה שיגרמו למי שבניו לא מתכננים להיקלט בקיבוץ, להתנגד לקליטה?)</w:t>
      </w:r>
    </w:p>
    <w:p w14:paraId="2B31DF4C" w14:textId="77777777" w:rsidR="00F548A9" w:rsidRDefault="00F548A9" w:rsidP="00F548A9">
      <w:pPr>
        <w:numPr>
          <w:ilvl w:val="0"/>
          <w:numId w:val="4"/>
        </w:numPr>
        <w:spacing w:line="360" w:lineRule="auto"/>
        <w:ind w:left="374" w:hanging="284"/>
        <w:jc w:val="both"/>
        <w:rPr>
          <w:rFonts w:ascii="Arial" w:hAnsi="Arial" w:hint="cs"/>
        </w:rPr>
      </w:pPr>
      <w:r>
        <w:rPr>
          <w:rFonts w:ascii="Arial" w:hAnsi="Arial" w:hint="cs"/>
          <w:rtl/>
        </w:rPr>
        <w:t xml:space="preserve"> </w:t>
      </w:r>
      <w:r w:rsidRPr="003501B0">
        <w:rPr>
          <w:rFonts w:ascii="Arial" w:hAnsi="Arial" w:hint="cs"/>
          <w:b/>
          <w:bCs/>
          <w:rtl/>
        </w:rPr>
        <w:t>הורשה</w:t>
      </w:r>
      <w:r>
        <w:rPr>
          <w:rFonts w:ascii="Arial" w:hAnsi="Arial" w:hint="cs"/>
          <w:rtl/>
        </w:rPr>
        <w:t xml:space="preserve"> </w:t>
      </w:r>
      <w:r>
        <w:rPr>
          <w:rFonts w:ascii="Arial" w:hAnsi="Arial"/>
          <w:rtl/>
        </w:rPr>
        <w:t>–</w:t>
      </w:r>
      <w:r>
        <w:rPr>
          <w:rFonts w:ascii="Arial" w:hAnsi="Arial" w:hint="cs"/>
          <w:rtl/>
        </w:rPr>
        <w:t xml:space="preserve"> שיקול מרכזי בקבלת ההחלטות נוגע לאפשרות החבר להוריש אחריו נכס או זכויות (כאן בהחלט יש הבדל בין המודלים השונים), במיוחד אם הנחת המוצא היא שחלק מהבנים לא יהיו בעתיד חברים בכפר חרוב.</w:t>
      </w:r>
    </w:p>
    <w:p w14:paraId="33503177" w14:textId="77777777" w:rsidR="00F548A9" w:rsidRDefault="00F548A9" w:rsidP="00F548A9">
      <w:pPr>
        <w:numPr>
          <w:ilvl w:val="0"/>
          <w:numId w:val="4"/>
        </w:numPr>
        <w:spacing w:line="360" w:lineRule="auto"/>
        <w:ind w:left="374" w:hanging="284"/>
        <w:jc w:val="both"/>
        <w:rPr>
          <w:rFonts w:ascii="Arial" w:hAnsi="Arial" w:hint="cs"/>
        </w:rPr>
      </w:pPr>
      <w:r w:rsidRPr="003501B0">
        <w:rPr>
          <w:rFonts w:ascii="Arial" w:hAnsi="Arial" w:hint="cs"/>
          <w:b/>
          <w:bCs/>
          <w:rtl/>
        </w:rPr>
        <w:t>הב</w:t>
      </w:r>
      <w:r>
        <w:rPr>
          <w:rFonts w:ascii="Arial" w:hAnsi="Arial" w:hint="cs"/>
          <w:b/>
          <w:bCs/>
          <w:rtl/>
        </w:rPr>
        <w:t>י</w:t>
      </w:r>
      <w:r w:rsidRPr="003501B0">
        <w:rPr>
          <w:rFonts w:ascii="Arial" w:hAnsi="Arial" w:hint="cs"/>
          <w:b/>
          <w:bCs/>
          <w:rtl/>
        </w:rPr>
        <w:t>טחון האישי של החבר</w:t>
      </w:r>
      <w:r>
        <w:rPr>
          <w:rFonts w:ascii="Arial" w:hAnsi="Arial" w:hint="cs"/>
          <w:rtl/>
        </w:rPr>
        <w:t xml:space="preserve"> </w:t>
      </w:r>
      <w:r>
        <w:rPr>
          <w:rFonts w:ascii="Arial" w:hAnsi="Arial"/>
          <w:rtl/>
        </w:rPr>
        <w:t>–</w:t>
      </w:r>
      <w:r>
        <w:rPr>
          <w:rFonts w:ascii="Arial" w:hAnsi="Arial" w:hint="cs"/>
          <w:rtl/>
        </w:rPr>
        <w:t xml:space="preserve"> שיקול מרכזי נוסף (שהיווה את נקודת המוצא לדיון) הוא בטחונו האישי של החבר. עם זאת, גם כאן ברור שגם כאן יכולים להיות הבדלים גדולים בין חבר השואב בטחון מכך שלו עצמו יהיו יותר זכויות או נכסים, לאחר ששואב בטחון, לדוגמא, מהמשכיות הקיבוץ כישות שיתופית חזקה.</w:t>
      </w:r>
    </w:p>
    <w:p w14:paraId="26866751" w14:textId="77777777" w:rsidR="00F548A9" w:rsidRDefault="00F548A9" w:rsidP="00F548A9">
      <w:pPr>
        <w:numPr>
          <w:ilvl w:val="0"/>
          <w:numId w:val="4"/>
        </w:numPr>
        <w:spacing w:line="360" w:lineRule="auto"/>
        <w:ind w:left="374" w:hanging="284"/>
        <w:jc w:val="both"/>
        <w:rPr>
          <w:rFonts w:ascii="Arial" w:hAnsi="Arial" w:hint="cs"/>
        </w:rPr>
      </w:pPr>
      <w:r>
        <w:rPr>
          <w:rFonts w:ascii="Arial" w:hAnsi="Arial" w:hint="cs"/>
          <w:b/>
          <w:bCs/>
          <w:rtl/>
        </w:rPr>
        <w:t xml:space="preserve">אפשרויות מימוש </w:t>
      </w:r>
      <w:r>
        <w:rPr>
          <w:rFonts w:ascii="Arial" w:hAnsi="Arial"/>
          <w:rtl/>
        </w:rPr>
        <w:t>–</w:t>
      </w:r>
      <w:r>
        <w:rPr>
          <w:rFonts w:ascii="Arial" w:hAnsi="Arial" w:hint="cs"/>
          <w:rtl/>
        </w:rPr>
        <w:t xml:space="preserve"> בתהליך קבלת ההחלטות צריך יהיה לתת את הדעת על הקנית זכויות ו/או יצירת מגבלות על מימוש הזכויות/נכסים של החבר.</w:t>
      </w:r>
    </w:p>
    <w:p w14:paraId="0D36540A" w14:textId="77777777" w:rsidR="00F548A9" w:rsidRDefault="00F548A9" w:rsidP="00F548A9">
      <w:pPr>
        <w:numPr>
          <w:ilvl w:val="0"/>
          <w:numId w:val="4"/>
        </w:numPr>
        <w:spacing w:line="360" w:lineRule="auto"/>
        <w:ind w:left="374" w:hanging="284"/>
        <w:jc w:val="both"/>
        <w:rPr>
          <w:rFonts w:ascii="Arial" w:hAnsi="Arial" w:hint="cs"/>
        </w:rPr>
      </w:pPr>
      <w:r w:rsidRPr="003501B0">
        <w:rPr>
          <w:rFonts w:ascii="Arial" w:hAnsi="Arial" w:hint="cs"/>
          <w:b/>
          <w:bCs/>
          <w:rtl/>
        </w:rPr>
        <w:t>פשטות ובהירות</w:t>
      </w:r>
      <w:r>
        <w:rPr>
          <w:rFonts w:ascii="Arial" w:hAnsi="Arial" w:hint="cs"/>
          <w:rtl/>
        </w:rPr>
        <w:t xml:space="preserve"> </w:t>
      </w:r>
      <w:r>
        <w:rPr>
          <w:rFonts w:ascii="Arial" w:hAnsi="Arial"/>
          <w:rtl/>
        </w:rPr>
        <w:t>–</w:t>
      </w:r>
      <w:r>
        <w:rPr>
          <w:rFonts w:ascii="Arial" w:hAnsi="Arial" w:hint="cs"/>
          <w:rtl/>
        </w:rPr>
        <w:t xml:space="preserve"> עלו כפרמטר בתהליך קבלת ההחלטות.</w:t>
      </w:r>
    </w:p>
    <w:p w14:paraId="7842AD4A" w14:textId="77777777" w:rsidR="00F548A9" w:rsidRDefault="00F548A9" w:rsidP="00F548A9">
      <w:pPr>
        <w:numPr>
          <w:ilvl w:val="0"/>
          <w:numId w:val="4"/>
        </w:numPr>
        <w:spacing w:line="360" w:lineRule="auto"/>
        <w:ind w:left="374" w:hanging="284"/>
        <w:jc w:val="both"/>
        <w:rPr>
          <w:rFonts w:ascii="Arial" w:hAnsi="Arial" w:hint="cs"/>
        </w:rPr>
      </w:pPr>
      <w:r>
        <w:rPr>
          <w:rFonts w:ascii="Arial" w:hAnsi="Arial" w:hint="cs"/>
          <w:b/>
          <w:bCs/>
          <w:rtl/>
        </w:rPr>
        <w:t xml:space="preserve">הוגנות המודל והאמון במערכת הקיבוצית </w:t>
      </w:r>
      <w:r>
        <w:rPr>
          <w:rFonts w:ascii="Arial" w:hAnsi="Arial"/>
          <w:rtl/>
        </w:rPr>
        <w:t>–</w:t>
      </w:r>
      <w:r>
        <w:rPr>
          <w:rFonts w:ascii="Arial" w:hAnsi="Arial" w:hint="cs"/>
          <w:rtl/>
        </w:rPr>
        <w:t xml:space="preserve"> עלו אף הם כשיקול בתהליך קבלת ההחלטות של החבר.</w:t>
      </w:r>
    </w:p>
    <w:p w14:paraId="30FEEFC9" w14:textId="77777777" w:rsidR="00F548A9" w:rsidRDefault="00F548A9" w:rsidP="00F548A9">
      <w:pPr>
        <w:numPr>
          <w:ilvl w:val="0"/>
          <w:numId w:val="4"/>
        </w:numPr>
        <w:spacing w:line="360" w:lineRule="auto"/>
        <w:ind w:left="374" w:hanging="284"/>
        <w:jc w:val="both"/>
        <w:rPr>
          <w:rFonts w:ascii="Arial" w:hAnsi="Arial" w:hint="cs"/>
        </w:rPr>
      </w:pPr>
      <w:r w:rsidRPr="00EA2008">
        <w:rPr>
          <w:rFonts w:ascii="Arial" w:hAnsi="Arial" w:hint="cs"/>
          <w:b/>
          <w:bCs/>
          <w:rtl/>
        </w:rPr>
        <w:t>זכויות החבר שעוזב את הקיבוץ</w:t>
      </w:r>
      <w:r>
        <w:rPr>
          <w:rFonts w:ascii="Arial" w:hAnsi="Arial" w:hint="cs"/>
          <w:rtl/>
        </w:rPr>
        <w:t xml:space="preserve"> </w:t>
      </w:r>
      <w:r>
        <w:rPr>
          <w:rFonts w:ascii="Arial" w:hAnsi="Arial"/>
          <w:rtl/>
        </w:rPr>
        <w:t>–</w:t>
      </w:r>
      <w:r>
        <w:rPr>
          <w:rFonts w:ascii="Arial" w:hAnsi="Arial" w:hint="cs"/>
          <w:rtl/>
        </w:rPr>
        <w:t xml:space="preserve"> האם נשאר שותף או לא?</w:t>
      </w:r>
    </w:p>
    <w:p w14:paraId="3F41CE42" w14:textId="77777777" w:rsidR="00F548A9" w:rsidRPr="00C91F5C" w:rsidRDefault="00F548A9" w:rsidP="00F548A9">
      <w:pPr>
        <w:numPr>
          <w:ilvl w:val="0"/>
          <w:numId w:val="4"/>
        </w:numPr>
        <w:spacing w:line="360" w:lineRule="auto"/>
        <w:ind w:left="374" w:hanging="284"/>
        <w:jc w:val="both"/>
        <w:rPr>
          <w:rFonts w:ascii="Arial" w:hAnsi="Arial" w:hint="cs"/>
          <w:rtl/>
        </w:rPr>
      </w:pPr>
      <w:r w:rsidRPr="00EA2008">
        <w:rPr>
          <w:rFonts w:ascii="Arial" w:hAnsi="Arial" w:hint="cs"/>
          <w:b/>
          <w:bCs/>
          <w:rtl/>
        </w:rPr>
        <w:t>קיבוץ של דור ראשון</w:t>
      </w:r>
      <w:r>
        <w:rPr>
          <w:rFonts w:ascii="Arial" w:hAnsi="Arial" w:hint="cs"/>
          <w:rtl/>
        </w:rPr>
        <w:t xml:space="preserve"> </w:t>
      </w:r>
      <w:r>
        <w:rPr>
          <w:rFonts w:ascii="Arial" w:hAnsi="Arial"/>
          <w:rtl/>
        </w:rPr>
        <w:t>–</w:t>
      </w:r>
      <w:r>
        <w:rPr>
          <w:rFonts w:ascii="Arial" w:hAnsi="Arial" w:hint="cs"/>
          <w:rtl/>
        </w:rPr>
        <w:t xml:space="preserve"> חשוב לקחת בחשבון בתהליך קבלת ההחלטות, כי בשלב זה הקיבוץ נמצא במצב נוח לקבלת החלטות משמעותיות, שכן יש דמיון רב באינטרסים של החברים ובמאפיינים שלהם.</w:t>
      </w:r>
    </w:p>
    <w:p w14:paraId="5A928474" w14:textId="77777777" w:rsidR="00077EF9" w:rsidRDefault="0014301B" w:rsidP="0014301B">
      <w:pPr>
        <w:rPr>
          <w:rFonts w:hint="cs"/>
        </w:rPr>
      </w:pPr>
      <w:r>
        <w:rPr>
          <w:rFonts w:hint="cs"/>
          <w:rtl/>
        </w:rPr>
        <w:t xml:space="preserve">                                                                                בברכה - צלי</w:t>
      </w:r>
      <w:r w:rsidR="0063002E">
        <w:t xml:space="preserve">       </w:t>
      </w:r>
    </w:p>
    <w:sectPr w:rsidR="00077EF9" w:rsidSect="0014301B">
      <w:pgSz w:w="11906" w:h="16838"/>
      <w:pgMar w:top="864" w:right="1286" w:bottom="1008" w:left="54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3992"/>
    <w:multiLevelType w:val="hybridMultilevel"/>
    <w:tmpl w:val="36B2949A"/>
    <w:lvl w:ilvl="0" w:tplc="8A50A1D6">
      <w:start w:val="1"/>
      <w:numFmt w:val="hebrew1"/>
      <w:lvlText w:val="%1."/>
      <w:lvlJc w:val="left"/>
      <w:pPr>
        <w:ind w:left="720" w:hanging="360"/>
      </w:pPr>
      <w:rPr>
        <w:rFonts w:cs="Times New Roman" w:hint="default"/>
        <w:sz w:val="2"/>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A5D0622"/>
    <w:multiLevelType w:val="hybridMultilevel"/>
    <w:tmpl w:val="47503B1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8266CE7"/>
    <w:multiLevelType w:val="hybridMultilevel"/>
    <w:tmpl w:val="D6A63F96"/>
    <w:lvl w:ilvl="0" w:tplc="EF96E5BA">
      <w:start w:val="1"/>
      <w:numFmt w:val="hebrew1"/>
      <w:lvlText w:val="%1."/>
      <w:lvlJc w:val="left"/>
      <w:pPr>
        <w:tabs>
          <w:tab w:val="num" w:pos="337"/>
        </w:tabs>
        <w:ind w:left="337" w:hanging="360"/>
      </w:pPr>
      <w:rPr>
        <w:rFonts w:hint="default"/>
        <w:u w:val="none"/>
      </w:rPr>
    </w:lvl>
    <w:lvl w:ilvl="1" w:tplc="04090019" w:tentative="1">
      <w:start w:val="1"/>
      <w:numFmt w:val="lowerLetter"/>
      <w:lvlText w:val="%2."/>
      <w:lvlJc w:val="left"/>
      <w:pPr>
        <w:tabs>
          <w:tab w:val="num" w:pos="1057"/>
        </w:tabs>
        <w:ind w:left="1057" w:hanging="360"/>
      </w:pPr>
    </w:lvl>
    <w:lvl w:ilvl="2" w:tplc="0409001B" w:tentative="1">
      <w:start w:val="1"/>
      <w:numFmt w:val="lowerRoman"/>
      <w:lvlText w:val="%3."/>
      <w:lvlJc w:val="right"/>
      <w:pPr>
        <w:tabs>
          <w:tab w:val="num" w:pos="1777"/>
        </w:tabs>
        <w:ind w:left="1777" w:hanging="180"/>
      </w:pPr>
    </w:lvl>
    <w:lvl w:ilvl="3" w:tplc="0409000F" w:tentative="1">
      <w:start w:val="1"/>
      <w:numFmt w:val="decimal"/>
      <w:lvlText w:val="%4."/>
      <w:lvlJc w:val="left"/>
      <w:pPr>
        <w:tabs>
          <w:tab w:val="num" w:pos="2497"/>
        </w:tabs>
        <w:ind w:left="2497" w:hanging="360"/>
      </w:pPr>
    </w:lvl>
    <w:lvl w:ilvl="4" w:tplc="04090019" w:tentative="1">
      <w:start w:val="1"/>
      <w:numFmt w:val="lowerLetter"/>
      <w:lvlText w:val="%5."/>
      <w:lvlJc w:val="left"/>
      <w:pPr>
        <w:tabs>
          <w:tab w:val="num" w:pos="3217"/>
        </w:tabs>
        <w:ind w:left="3217" w:hanging="360"/>
      </w:pPr>
    </w:lvl>
    <w:lvl w:ilvl="5" w:tplc="0409001B" w:tentative="1">
      <w:start w:val="1"/>
      <w:numFmt w:val="lowerRoman"/>
      <w:lvlText w:val="%6."/>
      <w:lvlJc w:val="right"/>
      <w:pPr>
        <w:tabs>
          <w:tab w:val="num" w:pos="3937"/>
        </w:tabs>
        <w:ind w:left="3937" w:hanging="180"/>
      </w:pPr>
    </w:lvl>
    <w:lvl w:ilvl="6" w:tplc="0409000F" w:tentative="1">
      <w:start w:val="1"/>
      <w:numFmt w:val="decimal"/>
      <w:lvlText w:val="%7."/>
      <w:lvlJc w:val="left"/>
      <w:pPr>
        <w:tabs>
          <w:tab w:val="num" w:pos="4657"/>
        </w:tabs>
        <w:ind w:left="4657" w:hanging="360"/>
      </w:pPr>
    </w:lvl>
    <w:lvl w:ilvl="7" w:tplc="04090019" w:tentative="1">
      <w:start w:val="1"/>
      <w:numFmt w:val="lowerLetter"/>
      <w:lvlText w:val="%8."/>
      <w:lvlJc w:val="left"/>
      <w:pPr>
        <w:tabs>
          <w:tab w:val="num" w:pos="5377"/>
        </w:tabs>
        <w:ind w:left="5377" w:hanging="360"/>
      </w:pPr>
    </w:lvl>
    <w:lvl w:ilvl="8" w:tplc="0409001B" w:tentative="1">
      <w:start w:val="1"/>
      <w:numFmt w:val="lowerRoman"/>
      <w:lvlText w:val="%9."/>
      <w:lvlJc w:val="right"/>
      <w:pPr>
        <w:tabs>
          <w:tab w:val="num" w:pos="6097"/>
        </w:tabs>
        <w:ind w:left="6097" w:hanging="180"/>
      </w:pPr>
    </w:lvl>
  </w:abstractNum>
  <w:abstractNum w:abstractNumId="3" w15:restartNumberingAfterBreak="0">
    <w:nsid w:val="2EF2433F"/>
    <w:multiLevelType w:val="hybridMultilevel"/>
    <w:tmpl w:val="56E647A6"/>
    <w:lvl w:ilvl="0" w:tplc="E8E8D37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9E6ECF"/>
    <w:multiLevelType w:val="hybridMultilevel"/>
    <w:tmpl w:val="B8BA45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86584460">
    <w:abstractNumId w:val="0"/>
  </w:num>
  <w:num w:numId="2" w16cid:durableId="1886015972">
    <w:abstractNumId w:val="1"/>
  </w:num>
  <w:num w:numId="3" w16cid:durableId="1564609064">
    <w:abstractNumId w:val="4"/>
  </w:num>
  <w:num w:numId="4" w16cid:durableId="1201941576">
    <w:abstractNumId w:val="3"/>
  </w:num>
  <w:num w:numId="5" w16cid:durableId="860013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002E"/>
    <w:rsid w:val="00042579"/>
    <w:rsid w:val="00077EF9"/>
    <w:rsid w:val="000F54C9"/>
    <w:rsid w:val="0014301B"/>
    <w:rsid w:val="00184AA2"/>
    <w:rsid w:val="001E7CCB"/>
    <w:rsid w:val="002F1350"/>
    <w:rsid w:val="002F35AA"/>
    <w:rsid w:val="0063002E"/>
    <w:rsid w:val="00662896"/>
    <w:rsid w:val="007178D2"/>
    <w:rsid w:val="0096324C"/>
    <w:rsid w:val="00A05EC9"/>
    <w:rsid w:val="00D32A26"/>
    <w:rsid w:val="00D353CA"/>
    <w:rsid w:val="00E72DA5"/>
    <w:rsid w:val="00F548A9"/>
    <w:rsid w:val="00F72237"/>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643467FD"/>
  <w15:chartTrackingRefBased/>
  <w15:docId w15:val="{1FB84058-B41E-4404-A335-75A7DE90B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L" w:eastAsia="en-IL"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bidi/>
    </w:pPr>
    <w:rPr>
      <w:sz w:val="24"/>
      <w:szCs w:val="24"/>
      <w:lang w:val="en-US"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1347</Words>
  <Characters>7683</Characters>
  <Application>Microsoft Office Word</Application>
  <DocSecurity>0</DocSecurity>
  <Lines>64</Lines>
  <Paragraphs>18</Paragraphs>
  <ScaleCrop>false</ScaleCrop>
  <HeadingPairs>
    <vt:vector size="2" baseType="variant">
      <vt:variant>
        <vt:lpstr>שם</vt:lpstr>
      </vt:variant>
      <vt:variant>
        <vt:i4>1</vt:i4>
      </vt:variant>
    </vt:vector>
  </HeadingPairs>
  <TitlesOfParts>
    <vt:vector size="1" baseType="lpstr">
      <vt:lpstr/>
    </vt:vector>
  </TitlesOfParts>
  <Company>Teldor Wires &amp; Cables</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dc:creator>
  <cp:keywords/>
  <dc:description/>
  <cp:lastModifiedBy>ארכיון כפר חרוב</cp:lastModifiedBy>
  <cp:revision>2</cp:revision>
  <dcterms:created xsi:type="dcterms:W3CDTF">2023-05-21T07:49:00Z</dcterms:created>
  <dcterms:modified xsi:type="dcterms:W3CDTF">2023-05-21T07:49:00Z</dcterms:modified>
</cp:coreProperties>
</file>